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6189" w14:textId="22D13132" w:rsidR="00E71698" w:rsidRDefault="00E71698" w:rsidP="00E71698">
      <w:pPr>
        <w:jc w:val="center"/>
        <w:rPr>
          <w:b/>
          <w:bCs/>
          <w:u w:val="single"/>
        </w:rPr>
      </w:pPr>
      <w:r>
        <w:rPr>
          <w:b/>
          <w:bCs/>
          <w:u w:val="single"/>
        </w:rPr>
        <w:t>Additional Experiment 1 Results</w:t>
      </w:r>
    </w:p>
    <w:p w14:paraId="69E12334" w14:textId="77777777" w:rsidR="00E71698" w:rsidRDefault="00E71698" w:rsidP="00B04089">
      <w:pPr>
        <w:rPr>
          <w:b/>
          <w:bCs/>
          <w:u w:val="single"/>
        </w:rPr>
      </w:pPr>
    </w:p>
    <w:p w14:paraId="218A71B5" w14:textId="75F59850" w:rsidR="00295499" w:rsidRPr="00F1114E" w:rsidRDefault="00295499" w:rsidP="00B04089">
      <w:pPr>
        <w:rPr>
          <w:b/>
          <w:bCs/>
          <w:u w:val="single"/>
        </w:rPr>
      </w:pPr>
      <w:r w:rsidRPr="00F1114E">
        <w:rPr>
          <w:b/>
          <w:bCs/>
          <w:u w:val="single"/>
        </w:rPr>
        <w:t xml:space="preserve">Robustness </w:t>
      </w:r>
      <w:r w:rsidR="00406AF9" w:rsidRPr="00F1114E">
        <w:rPr>
          <w:b/>
          <w:bCs/>
          <w:u w:val="single"/>
        </w:rPr>
        <w:t>c</w:t>
      </w:r>
      <w:r w:rsidRPr="00F1114E">
        <w:rPr>
          <w:b/>
          <w:bCs/>
          <w:u w:val="single"/>
        </w:rPr>
        <w:t>heck</w:t>
      </w:r>
    </w:p>
    <w:p w14:paraId="7F61FCDC" w14:textId="77777777" w:rsidR="00295499" w:rsidRPr="00F1114E" w:rsidRDefault="00295499" w:rsidP="00B04089">
      <w:pPr>
        <w:rPr>
          <w:b/>
          <w:bCs/>
        </w:rPr>
      </w:pPr>
    </w:p>
    <w:p w14:paraId="6473947D" w14:textId="1C34681A" w:rsidR="00B04089" w:rsidRPr="00F1114E" w:rsidRDefault="00B04089" w:rsidP="00B04089">
      <w:r w:rsidRPr="00F1114E">
        <w:t xml:space="preserve">Decisions about cutoffs, exclusions, and analyses were made prior to analyzing the data. These decisions were established </w:t>
      </w:r>
      <w:proofErr w:type="gramStart"/>
      <w:r w:rsidRPr="00F1114E">
        <w:t>in order to</w:t>
      </w:r>
      <w:proofErr w:type="gramEnd"/>
      <w:r w:rsidRPr="00F1114E">
        <w:t xml:space="preserve"> remove inaccurate trials, outlier trials, as well as participants who may not have been fully engaged in the task (based on their performance on attention check trials). The log-transformations were the only choice that was data-</w:t>
      </w:r>
      <w:proofErr w:type="gramStart"/>
      <w:r w:rsidRPr="00F1114E">
        <w:t>derived, because</w:t>
      </w:r>
      <w:proofErr w:type="gramEnd"/>
      <w:r w:rsidRPr="00F1114E">
        <w:t xml:space="preserve"> we plotted our distributions and measured skewness. Based on those analyses, we log-transformed change blindness duration to eliminate skewness and to achieve as close as a normal distribution.</w:t>
      </w:r>
    </w:p>
    <w:p w14:paraId="41147C9E" w14:textId="77777777" w:rsidR="00B04089" w:rsidRPr="00F1114E" w:rsidRDefault="00B04089" w:rsidP="00B04089"/>
    <w:p w14:paraId="49FD80E1" w14:textId="4945A5FE" w:rsidR="00B04089" w:rsidRPr="00F1114E" w:rsidRDefault="00B04089" w:rsidP="00B04089">
      <w:r w:rsidRPr="00F1114E">
        <w:t>To verify that our findings reported in our manuscript do not depend on these decisions, we performed the following robustness analyses for Experiment 1 in which none of our exclusion criteria were applied and in which we look at raw and log-transformed data. In this analysis, we include participants who missed attention check trials in the change blindness task and the likelihood ratings task, as well as all inaccurate trials (i.e., the participant did not click on the changing object) and trials that were ±3 SDs from the participant’s mean RT (i.e., outliers) in the change blindness task. (Note that trials in the change blindness task with no response or that timed out were still excluded since change blindness duration was not recorded.) These data were entered into our primary linear mixed effects model for predicting change blindness duration with change detection likelihood ratings as a fixed ordinal effect and participant, image pair, and stimulus set as random intercepts. </w:t>
      </w:r>
    </w:p>
    <w:p w14:paraId="1D461C85" w14:textId="77777777" w:rsidR="00B04089" w:rsidRPr="00F1114E" w:rsidRDefault="00B04089" w:rsidP="00B04089"/>
    <w:p w14:paraId="25C0D98F" w14:textId="1775F6E8" w:rsidR="00B04089" w:rsidRPr="00F1114E" w:rsidRDefault="00B04089" w:rsidP="00B04089">
      <w:r w:rsidRPr="00F1114E">
        <w:t xml:space="preserve">When all participants and trials were analyzed, change detection likelihood ratings significantly predicted log-transformed change blindness duration, </w:t>
      </w:r>
      <w:r w:rsidRPr="00F1114E">
        <w:rPr>
          <w:i/>
          <w:iCs/>
        </w:rPr>
        <w:t>β</w:t>
      </w:r>
      <w:r w:rsidRPr="00F1114E">
        <w:t xml:space="preserve"> = -0.12, </w:t>
      </w:r>
      <w:r w:rsidRPr="00F1114E">
        <w:rPr>
          <w:i/>
          <w:iCs/>
        </w:rPr>
        <w:t>p</w:t>
      </w:r>
      <w:r w:rsidRPr="00F1114E">
        <w:t xml:space="preserve"> &lt; .001, 95% CI = [-0.18, -0.06] and raw change blindness duration, </w:t>
      </w:r>
      <w:r w:rsidRPr="00F1114E">
        <w:rPr>
          <w:i/>
          <w:iCs/>
        </w:rPr>
        <w:t>β</w:t>
      </w:r>
      <w:r w:rsidRPr="00F1114E">
        <w:t xml:space="preserve"> = -0.13, </w:t>
      </w:r>
      <w:r w:rsidRPr="00F1114E">
        <w:rPr>
          <w:i/>
          <w:iCs/>
        </w:rPr>
        <w:t>p</w:t>
      </w:r>
      <w:r w:rsidRPr="00F1114E">
        <w:t xml:space="preserve"> &lt; .001, 95% CI = [-0.20, -0.06], such that changes rated as likely to be spotted were detected faster than changes rated as unlikely to be spotted. These results are consistent–although slightly weaker–with what we report in our manuscript (i.e., when these exclusions and transformations were applied), </w:t>
      </w:r>
      <w:r w:rsidRPr="00F1114E">
        <w:rPr>
          <w:i/>
          <w:iCs/>
        </w:rPr>
        <w:t>β</w:t>
      </w:r>
      <w:r w:rsidRPr="00F1114E">
        <w:t xml:space="preserve"> = -0.18, </w:t>
      </w:r>
      <w:r w:rsidRPr="00F1114E">
        <w:rPr>
          <w:i/>
          <w:iCs/>
        </w:rPr>
        <w:t>p</w:t>
      </w:r>
      <w:r w:rsidRPr="00F1114E">
        <w:t xml:space="preserve"> &lt; .001, 95% CI = [-0.25, -0.11].</w:t>
      </w:r>
    </w:p>
    <w:p w14:paraId="7267021C" w14:textId="77777777" w:rsidR="00B04089" w:rsidRPr="00F1114E" w:rsidRDefault="00B04089" w:rsidP="00B04089"/>
    <w:p w14:paraId="02E8C48A" w14:textId="22475BAF" w:rsidR="00B04089" w:rsidRPr="00F1114E" w:rsidRDefault="00B04089" w:rsidP="00B04089">
      <w:r w:rsidRPr="00F1114E">
        <w:t>Since there were a lot more attention check failures in Experiment 2, we wanted to conduct similar robustness analyses to determine if our findings stemmed from our exclusion criteria. We re-analyzed the data without excluding any of the new participants who failed attention check trials in a linear mixed-effects model for change blindness duration with participant group (new or returning) and change detection likelihood ratings (and critically, the interaction between group and ratings), size, and eccentricity of the change as fixed effects and participant, image pair, and stimulus set as random intercepts. The results of these analyses, and the result we report in our manuscript, are laid out in the table below.</w:t>
      </w:r>
    </w:p>
    <w:p w14:paraId="36C882BA" w14:textId="73602E22" w:rsidR="00B04089" w:rsidRPr="00F1114E" w:rsidRDefault="00B04089" w:rsidP="00B04089"/>
    <w:p w14:paraId="4BD6C604" w14:textId="57F82E10" w:rsidR="00B412E3" w:rsidRPr="00F1114E" w:rsidRDefault="00B412E3" w:rsidP="00B04089"/>
    <w:p w14:paraId="670C0ED3" w14:textId="54A1ADE3" w:rsidR="00B412E3" w:rsidRPr="00F1114E" w:rsidRDefault="00B412E3" w:rsidP="00B04089"/>
    <w:p w14:paraId="5998B342" w14:textId="5A751F0A" w:rsidR="00B412E3" w:rsidRPr="00F1114E" w:rsidRDefault="00B412E3" w:rsidP="00B04089"/>
    <w:p w14:paraId="5A34ABC2" w14:textId="43D7947D" w:rsidR="00B412E3" w:rsidRPr="00F1114E" w:rsidRDefault="00B412E3" w:rsidP="00B04089"/>
    <w:p w14:paraId="406862FD" w14:textId="7C23063E" w:rsidR="00B412E3" w:rsidRPr="00F1114E" w:rsidRDefault="00B412E3" w:rsidP="00B04089"/>
    <w:p w14:paraId="66B364CB" w14:textId="280F758C" w:rsidR="00B412E3" w:rsidRPr="00F1114E" w:rsidRDefault="00B412E3" w:rsidP="00B04089"/>
    <w:p w14:paraId="741D425D" w14:textId="77777777" w:rsidR="00B412E3" w:rsidRPr="00F1114E" w:rsidRDefault="00B412E3" w:rsidP="00B04089"/>
    <w:tbl>
      <w:tblPr>
        <w:tblW w:w="0" w:type="auto"/>
        <w:tblInd w:w="-280" w:type="dxa"/>
        <w:tblCellMar>
          <w:top w:w="15" w:type="dxa"/>
          <w:left w:w="15" w:type="dxa"/>
          <w:bottom w:w="15" w:type="dxa"/>
          <w:right w:w="15" w:type="dxa"/>
        </w:tblCellMar>
        <w:tblLook w:val="04A0" w:firstRow="1" w:lastRow="0" w:firstColumn="1" w:lastColumn="0" w:noHBand="0" w:noVBand="1"/>
      </w:tblPr>
      <w:tblGrid>
        <w:gridCol w:w="1170"/>
        <w:gridCol w:w="2160"/>
        <w:gridCol w:w="2160"/>
        <w:gridCol w:w="1980"/>
        <w:gridCol w:w="2150"/>
      </w:tblGrid>
      <w:tr w:rsidR="00F1114E" w:rsidRPr="00F1114E" w14:paraId="53798F4D" w14:textId="77777777" w:rsidTr="00295499">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BF3F0" w14:textId="77777777" w:rsidR="00B04089" w:rsidRPr="00F1114E" w:rsidRDefault="00B04089" w:rsidP="005262B6"/>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A0AEB" w14:textId="77777777" w:rsidR="00B04089" w:rsidRPr="00F1114E" w:rsidRDefault="00B04089" w:rsidP="005262B6">
            <w:pPr>
              <w:jc w:val="center"/>
            </w:pPr>
            <w:r w:rsidRPr="00F1114E">
              <w:rPr>
                <w:b/>
                <w:bCs/>
                <w:sz w:val="20"/>
                <w:szCs w:val="20"/>
              </w:rPr>
              <w:t>Likelihood ratings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18CDA" w14:textId="77777777" w:rsidR="00B04089" w:rsidRPr="00F1114E" w:rsidRDefault="00B04089" w:rsidP="005262B6">
            <w:pPr>
              <w:jc w:val="center"/>
            </w:pPr>
            <w:r w:rsidRPr="00F1114E">
              <w:rPr>
                <w:sz w:val="20"/>
                <w:szCs w:val="20"/>
              </w:rPr>
              <w:t>Size</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53280" w14:textId="77777777" w:rsidR="00B04089" w:rsidRPr="00F1114E" w:rsidRDefault="00B04089" w:rsidP="005262B6">
            <w:pPr>
              <w:jc w:val="center"/>
            </w:pPr>
            <w:r w:rsidRPr="00F1114E">
              <w:rPr>
                <w:sz w:val="20"/>
                <w:szCs w:val="20"/>
              </w:rPr>
              <w:t>Eccentricity</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F5841" w14:textId="77777777" w:rsidR="00B04089" w:rsidRPr="00F1114E" w:rsidRDefault="00B04089" w:rsidP="005262B6">
            <w:pPr>
              <w:jc w:val="center"/>
            </w:pPr>
            <w:r w:rsidRPr="00F1114E">
              <w:rPr>
                <w:sz w:val="20"/>
                <w:szCs w:val="20"/>
              </w:rPr>
              <w:t>Interaction</w:t>
            </w:r>
          </w:p>
        </w:tc>
      </w:tr>
      <w:tr w:rsidR="00F1114E" w:rsidRPr="00F1114E" w14:paraId="1BA71A78" w14:textId="77777777" w:rsidTr="00295499">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B6711" w14:textId="77777777" w:rsidR="00B04089" w:rsidRPr="00F1114E" w:rsidRDefault="00B04089" w:rsidP="005262B6">
            <w:r w:rsidRPr="00F1114E">
              <w:rPr>
                <w:sz w:val="20"/>
                <w:szCs w:val="20"/>
              </w:rPr>
              <w:t>Robustness (log RT)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FF2D" w14:textId="77777777" w:rsidR="00B04089" w:rsidRPr="00F1114E" w:rsidRDefault="00B04089" w:rsidP="005262B6">
            <w:r w:rsidRPr="00F1114E">
              <w:rPr>
                <w:b/>
                <w:bCs/>
                <w:i/>
                <w:iCs/>
                <w:sz w:val="20"/>
                <w:szCs w:val="20"/>
              </w:rPr>
              <w:t>β</w:t>
            </w:r>
            <w:r w:rsidRPr="00F1114E">
              <w:rPr>
                <w:b/>
                <w:bCs/>
                <w:sz w:val="20"/>
                <w:szCs w:val="20"/>
              </w:rPr>
              <w:t xml:space="preserve"> = -0.02, </w:t>
            </w:r>
            <w:r w:rsidRPr="00F1114E">
              <w:rPr>
                <w:b/>
                <w:bCs/>
                <w:i/>
                <w:iCs/>
                <w:sz w:val="20"/>
                <w:szCs w:val="20"/>
              </w:rPr>
              <w:t>p</w:t>
            </w:r>
            <w:r w:rsidRPr="00F1114E">
              <w:rPr>
                <w:b/>
                <w:bCs/>
                <w:sz w:val="20"/>
                <w:szCs w:val="20"/>
              </w:rPr>
              <w:t xml:space="preserve"> = .396, 95% CI = [-0.06, 0.02]</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3088A" w14:textId="77777777" w:rsidR="00B04089" w:rsidRPr="00F1114E" w:rsidRDefault="00B04089" w:rsidP="005262B6">
            <w:r w:rsidRPr="00F1114E">
              <w:rPr>
                <w:i/>
                <w:iCs/>
                <w:sz w:val="20"/>
                <w:szCs w:val="20"/>
              </w:rPr>
              <w:t>β</w:t>
            </w:r>
            <w:r w:rsidRPr="00F1114E">
              <w:rPr>
                <w:sz w:val="20"/>
                <w:szCs w:val="20"/>
              </w:rPr>
              <w:t xml:space="preserve"> = -0.08, </w:t>
            </w:r>
            <w:r w:rsidRPr="00F1114E">
              <w:rPr>
                <w:i/>
                <w:iCs/>
                <w:sz w:val="20"/>
                <w:szCs w:val="20"/>
              </w:rPr>
              <w:t>p</w:t>
            </w:r>
            <w:r w:rsidRPr="00F1114E">
              <w:rPr>
                <w:sz w:val="20"/>
                <w:szCs w:val="20"/>
              </w:rPr>
              <w:t xml:space="preserve"> &lt; .05, 95% CI = [-0.15, -0.02]</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B4989" w14:textId="77777777" w:rsidR="00B04089" w:rsidRPr="00F1114E" w:rsidRDefault="00B04089" w:rsidP="005262B6">
            <w:r w:rsidRPr="00F1114E">
              <w:rPr>
                <w:i/>
                <w:iCs/>
                <w:sz w:val="20"/>
                <w:szCs w:val="20"/>
              </w:rPr>
              <w:t>β</w:t>
            </w:r>
            <w:r w:rsidRPr="00F1114E">
              <w:rPr>
                <w:sz w:val="20"/>
                <w:szCs w:val="20"/>
              </w:rPr>
              <w:t xml:space="preserve"> = 0.08, </w:t>
            </w:r>
            <w:r w:rsidRPr="00F1114E">
              <w:rPr>
                <w:i/>
                <w:iCs/>
                <w:sz w:val="20"/>
                <w:szCs w:val="20"/>
              </w:rPr>
              <w:t>p</w:t>
            </w:r>
            <w:r w:rsidRPr="00F1114E">
              <w:rPr>
                <w:sz w:val="20"/>
                <w:szCs w:val="20"/>
              </w:rPr>
              <w:t xml:space="preserve"> &lt; .001, 95% CI = [0.04, 0.13]</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0D779" w14:textId="77777777" w:rsidR="00B04089" w:rsidRPr="00F1114E" w:rsidRDefault="00B04089" w:rsidP="005262B6">
            <w:r w:rsidRPr="00F1114E">
              <w:rPr>
                <w:i/>
                <w:iCs/>
                <w:sz w:val="20"/>
                <w:szCs w:val="20"/>
              </w:rPr>
              <w:t>β</w:t>
            </w:r>
            <w:r w:rsidRPr="00F1114E">
              <w:rPr>
                <w:sz w:val="20"/>
                <w:szCs w:val="20"/>
              </w:rPr>
              <w:t xml:space="preserve"> = -0.02, </w:t>
            </w:r>
            <w:r w:rsidRPr="00F1114E">
              <w:rPr>
                <w:i/>
                <w:iCs/>
                <w:sz w:val="20"/>
                <w:szCs w:val="20"/>
              </w:rPr>
              <w:t>p</w:t>
            </w:r>
            <w:r w:rsidRPr="00F1114E">
              <w:rPr>
                <w:sz w:val="20"/>
                <w:szCs w:val="20"/>
              </w:rPr>
              <w:t xml:space="preserve"> = .487, 95% CI [-0.08, 0.04]</w:t>
            </w:r>
          </w:p>
        </w:tc>
      </w:tr>
      <w:tr w:rsidR="00F1114E" w:rsidRPr="00F1114E" w14:paraId="14051162" w14:textId="77777777" w:rsidTr="00295499">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F3B71" w14:textId="77777777" w:rsidR="00B04089" w:rsidRPr="00F1114E" w:rsidRDefault="00B04089" w:rsidP="005262B6">
            <w:r w:rsidRPr="00F1114E">
              <w:rPr>
                <w:sz w:val="20"/>
                <w:szCs w:val="20"/>
              </w:rPr>
              <w:t>Reported </w:t>
            </w:r>
          </w:p>
          <w:p w14:paraId="018853B1" w14:textId="77777777" w:rsidR="00B04089" w:rsidRPr="00F1114E" w:rsidRDefault="00B04089" w:rsidP="005262B6">
            <w:r w:rsidRPr="00F1114E">
              <w:rPr>
                <w:sz w:val="20"/>
                <w:szCs w:val="20"/>
              </w:rPr>
              <w:t>(</w:t>
            </w:r>
            <w:proofErr w:type="gramStart"/>
            <w:r w:rsidRPr="00F1114E">
              <w:rPr>
                <w:sz w:val="20"/>
                <w:szCs w:val="20"/>
              </w:rPr>
              <w:t>log</w:t>
            </w:r>
            <w:proofErr w:type="gramEnd"/>
            <w:r w:rsidRPr="00F1114E">
              <w:rPr>
                <w:sz w:val="20"/>
                <w:szCs w:val="20"/>
              </w:rPr>
              <w:t xml:space="preserve"> RT)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F67AB" w14:textId="77777777" w:rsidR="00B04089" w:rsidRPr="00F1114E" w:rsidRDefault="00B04089" w:rsidP="005262B6">
            <w:r w:rsidRPr="00F1114E">
              <w:rPr>
                <w:b/>
                <w:bCs/>
                <w:i/>
                <w:iCs/>
                <w:sz w:val="20"/>
                <w:szCs w:val="20"/>
              </w:rPr>
              <w:t>β</w:t>
            </w:r>
            <w:r w:rsidRPr="00F1114E">
              <w:rPr>
                <w:b/>
                <w:bCs/>
                <w:sz w:val="20"/>
                <w:szCs w:val="20"/>
              </w:rPr>
              <w:t xml:space="preserve"> = -0.05 </w:t>
            </w:r>
            <w:r w:rsidRPr="00F1114E">
              <w:rPr>
                <w:b/>
                <w:bCs/>
                <w:i/>
                <w:iCs/>
                <w:sz w:val="20"/>
                <w:szCs w:val="20"/>
              </w:rPr>
              <w:t>p</w:t>
            </w:r>
            <w:r w:rsidRPr="00F1114E">
              <w:rPr>
                <w:b/>
                <w:bCs/>
                <w:sz w:val="20"/>
                <w:szCs w:val="20"/>
              </w:rPr>
              <w:t xml:space="preserve"> &lt; .05, 95% CI = [-0.1, -0.004]</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8F812" w14:textId="77777777" w:rsidR="00B04089" w:rsidRPr="00F1114E" w:rsidRDefault="00B04089" w:rsidP="005262B6">
            <w:r w:rsidRPr="00F1114E">
              <w:rPr>
                <w:i/>
                <w:iCs/>
                <w:sz w:val="20"/>
                <w:szCs w:val="20"/>
              </w:rPr>
              <w:t>β</w:t>
            </w:r>
            <w:r w:rsidRPr="00F1114E">
              <w:rPr>
                <w:sz w:val="20"/>
                <w:szCs w:val="20"/>
              </w:rPr>
              <w:t xml:space="preserve"> = -0.10, </w:t>
            </w:r>
            <w:r w:rsidRPr="00F1114E">
              <w:rPr>
                <w:i/>
                <w:iCs/>
                <w:sz w:val="20"/>
                <w:szCs w:val="20"/>
              </w:rPr>
              <w:t>p</w:t>
            </w:r>
            <w:r w:rsidRPr="00F1114E">
              <w:rPr>
                <w:sz w:val="20"/>
                <w:szCs w:val="20"/>
              </w:rPr>
              <w:t xml:space="preserve"> &lt; .01, 95% CI = [-0.17, -0.03]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18D87" w14:textId="77777777" w:rsidR="00B04089" w:rsidRPr="00F1114E" w:rsidRDefault="00B04089" w:rsidP="005262B6">
            <w:r w:rsidRPr="00F1114E">
              <w:rPr>
                <w:i/>
                <w:iCs/>
                <w:sz w:val="20"/>
                <w:szCs w:val="20"/>
              </w:rPr>
              <w:t>β</w:t>
            </w:r>
            <w:r w:rsidRPr="00F1114E">
              <w:rPr>
                <w:sz w:val="20"/>
                <w:szCs w:val="20"/>
              </w:rPr>
              <w:t xml:space="preserve"> = 0.08, </w:t>
            </w:r>
            <w:r w:rsidRPr="00F1114E">
              <w:rPr>
                <w:i/>
                <w:iCs/>
                <w:sz w:val="20"/>
                <w:szCs w:val="20"/>
              </w:rPr>
              <w:t>p</w:t>
            </w:r>
            <w:r w:rsidRPr="00F1114E">
              <w:rPr>
                <w:sz w:val="20"/>
                <w:szCs w:val="20"/>
              </w:rPr>
              <w:t xml:space="preserve"> &lt; .01, 95% CI = [0.03, 0.13]</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365B" w14:textId="77777777" w:rsidR="00B04089" w:rsidRPr="00F1114E" w:rsidRDefault="00B04089" w:rsidP="005262B6">
            <w:r w:rsidRPr="00F1114E">
              <w:rPr>
                <w:i/>
                <w:iCs/>
                <w:sz w:val="20"/>
                <w:szCs w:val="20"/>
              </w:rPr>
              <w:t>β</w:t>
            </w:r>
            <w:r w:rsidRPr="00F1114E">
              <w:rPr>
                <w:sz w:val="20"/>
                <w:szCs w:val="20"/>
              </w:rPr>
              <w:t xml:space="preserve"> = 0.002, </w:t>
            </w:r>
            <w:r w:rsidRPr="00F1114E">
              <w:rPr>
                <w:i/>
                <w:iCs/>
                <w:sz w:val="20"/>
                <w:szCs w:val="20"/>
              </w:rPr>
              <w:t>p</w:t>
            </w:r>
            <w:r w:rsidRPr="00F1114E">
              <w:rPr>
                <w:sz w:val="20"/>
                <w:szCs w:val="20"/>
              </w:rPr>
              <w:t xml:space="preserve"> = .941, 95% CI = [-0.06, 0.07]</w:t>
            </w:r>
          </w:p>
        </w:tc>
      </w:tr>
      <w:tr w:rsidR="00F1114E" w:rsidRPr="00F1114E" w14:paraId="67EE54D8" w14:textId="77777777" w:rsidTr="00E20F13">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EEBC3" w14:textId="2FA84DD3" w:rsidR="00295499" w:rsidRPr="00F1114E" w:rsidRDefault="00295499" w:rsidP="00295499">
            <w:pPr>
              <w:rPr>
                <w:sz w:val="20"/>
                <w:szCs w:val="20"/>
              </w:rPr>
            </w:pPr>
            <w:r w:rsidRPr="00F1114E">
              <w:rPr>
                <w:sz w:val="20"/>
                <w:szCs w:val="20"/>
              </w:rPr>
              <w:t>Percentage change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776C7" w14:textId="66BE5923" w:rsidR="00295499" w:rsidRPr="00F1114E" w:rsidRDefault="00295499" w:rsidP="00E20F13">
            <w:pPr>
              <w:jc w:val="center"/>
              <w:rPr>
                <w:b/>
                <w:bCs/>
                <w:i/>
                <w:iCs/>
                <w:sz w:val="20"/>
                <w:szCs w:val="20"/>
              </w:rPr>
            </w:pPr>
            <w:r w:rsidRPr="00F1114E">
              <w:rPr>
                <w:b/>
                <w:bCs/>
                <w:sz w:val="20"/>
                <w:szCs w:val="20"/>
              </w:rPr>
              <w:t>1.5%</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46917" w14:textId="2F6E8A7A" w:rsidR="00295499" w:rsidRPr="00F1114E" w:rsidRDefault="00295499" w:rsidP="00E20F13">
            <w:pPr>
              <w:jc w:val="center"/>
              <w:rPr>
                <w:i/>
                <w:iCs/>
                <w:sz w:val="20"/>
                <w:szCs w:val="20"/>
              </w:rPr>
            </w:pPr>
            <w:r w:rsidRPr="00F1114E">
              <w:rPr>
                <w:sz w:val="20"/>
                <w:szCs w:val="20"/>
              </w:rPr>
              <w:t>0.25%</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F0650E" w14:textId="3EC34057" w:rsidR="00295499" w:rsidRPr="00F1114E" w:rsidRDefault="00295499" w:rsidP="00E20F13">
            <w:pPr>
              <w:jc w:val="center"/>
              <w:rPr>
                <w:i/>
                <w:iCs/>
                <w:sz w:val="20"/>
                <w:szCs w:val="20"/>
              </w:rPr>
            </w:pPr>
            <w:r w:rsidRPr="00F1114E">
              <w:rPr>
                <w:sz w:val="20"/>
                <w:szCs w:val="20"/>
              </w:rPr>
              <w:t>0%</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61B1CA" w14:textId="63881129" w:rsidR="00295499" w:rsidRPr="00F1114E" w:rsidRDefault="00295499" w:rsidP="00E20F13">
            <w:pPr>
              <w:jc w:val="center"/>
              <w:rPr>
                <w:i/>
                <w:iCs/>
                <w:sz w:val="20"/>
                <w:szCs w:val="20"/>
              </w:rPr>
            </w:pPr>
            <w:r w:rsidRPr="00F1114E">
              <w:rPr>
                <w:sz w:val="20"/>
                <w:szCs w:val="20"/>
              </w:rPr>
              <w:t>-1.1%</w:t>
            </w:r>
          </w:p>
        </w:tc>
      </w:tr>
    </w:tbl>
    <w:p w14:paraId="2178ABA7" w14:textId="77777777" w:rsidR="00B04089" w:rsidRPr="00F1114E" w:rsidRDefault="00B04089" w:rsidP="00B04089"/>
    <w:p w14:paraId="2D5DF159" w14:textId="68F70D1A" w:rsidR="00B04089" w:rsidRPr="00F1114E" w:rsidRDefault="00B04089" w:rsidP="00B04089">
      <w:r w:rsidRPr="00F1114E">
        <w:t xml:space="preserve">Three of these findings (significant effects of size and eccentricity, and no significant interaction between likelihood ratings and group) from this robustness analysis are consistent with the results reported in our manuscript. However, likelihood ratings were not significantly predictive of change blindness duration in the robustness analysis (bolded). These results suggest that the predictive relationship we find between likelihood ratings and change blindness duration depends on attentive </w:t>
      </w:r>
      <w:r w:rsidR="00BD751C" w:rsidRPr="00F1114E">
        <w:t>participants</w:t>
      </w:r>
      <w:r w:rsidRPr="00F1114E">
        <w:t xml:space="preserve">, hence the importance of attention checks. </w:t>
      </w:r>
    </w:p>
    <w:p w14:paraId="1C46F69C" w14:textId="77777777" w:rsidR="00B04089" w:rsidRPr="00F1114E" w:rsidRDefault="00B04089" w:rsidP="00B04089"/>
    <w:p w14:paraId="65671F4B" w14:textId="0D61A574" w:rsidR="00B04089" w:rsidRPr="00F1114E" w:rsidRDefault="00B04089" w:rsidP="00B04089">
      <w:r w:rsidRPr="00F1114E">
        <w:t xml:space="preserve">Generally, the results of these robustness checks confirm that the pattern of results we report in our manuscript do not depend on our predetermined exclusion criteria, cutoffs, or transformations.  </w:t>
      </w:r>
    </w:p>
    <w:p w14:paraId="761501AB" w14:textId="1EEDF59C" w:rsidR="00E20F13" w:rsidRPr="00F1114E" w:rsidRDefault="00E20F13" w:rsidP="00B04089"/>
    <w:p w14:paraId="025858FE" w14:textId="77777777" w:rsidR="000B1658" w:rsidRPr="00F1114E" w:rsidRDefault="000B1658" w:rsidP="00E20F13">
      <w:pPr>
        <w:rPr>
          <w:b/>
          <w:bCs/>
          <w:u w:val="single"/>
        </w:rPr>
      </w:pPr>
    </w:p>
    <w:p w14:paraId="15D3FF23" w14:textId="3797325F" w:rsidR="00E20F13" w:rsidRPr="00F1114E" w:rsidRDefault="00513BDA" w:rsidP="00E20F13">
      <w:pPr>
        <w:rPr>
          <w:b/>
          <w:bCs/>
          <w:u w:val="single"/>
        </w:rPr>
      </w:pPr>
      <w:r w:rsidRPr="00F1114E">
        <w:rPr>
          <w:b/>
          <w:bCs/>
          <w:u w:val="single"/>
        </w:rPr>
        <w:t>V</w:t>
      </w:r>
      <w:r w:rsidR="00E20F13" w:rsidRPr="00F1114E">
        <w:rPr>
          <w:b/>
          <w:bCs/>
          <w:u w:val="single"/>
        </w:rPr>
        <w:t xml:space="preserve">ariability in </w:t>
      </w:r>
      <w:r w:rsidR="00B41EA8" w:rsidRPr="00F1114E">
        <w:rPr>
          <w:b/>
          <w:bCs/>
          <w:u w:val="single"/>
        </w:rPr>
        <w:t>change blindness duration</w:t>
      </w:r>
      <w:r w:rsidR="00E20F13" w:rsidRPr="00F1114E">
        <w:rPr>
          <w:b/>
          <w:bCs/>
          <w:u w:val="single"/>
        </w:rPr>
        <w:t xml:space="preserve"> and likelihood ratings</w:t>
      </w:r>
    </w:p>
    <w:p w14:paraId="7C1796DC" w14:textId="68339B69" w:rsidR="003F3EB9" w:rsidRPr="00F1114E" w:rsidRDefault="003F3EB9" w:rsidP="00B04089"/>
    <w:p w14:paraId="1EDDF924" w14:textId="0AC582CF" w:rsidR="00513BDA" w:rsidRPr="00F1114E" w:rsidRDefault="00513BDA" w:rsidP="00B04089">
      <w:pPr>
        <w:rPr>
          <w:b/>
          <w:bCs/>
        </w:rPr>
      </w:pPr>
      <w:r w:rsidRPr="00F1114E">
        <w:rPr>
          <w:b/>
          <w:bCs/>
        </w:rPr>
        <w:t>High variability</w:t>
      </w:r>
    </w:p>
    <w:p w14:paraId="5637F4B2" w14:textId="77777777" w:rsidR="00513BDA" w:rsidRPr="00F1114E" w:rsidRDefault="00513BDA" w:rsidP="00B04089">
      <w:pPr>
        <w:rPr>
          <w:b/>
          <w:bCs/>
        </w:rPr>
      </w:pPr>
    </w:p>
    <w:p w14:paraId="49DC64EC" w14:textId="660F4880" w:rsidR="00E20F13" w:rsidRPr="00F1114E" w:rsidRDefault="00595E55" w:rsidP="00595E55">
      <w:r w:rsidRPr="00F1114E">
        <w:t xml:space="preserve">Here, we wanted to determine whether our results were driven by a handful of participants and/or images with sufficient variability in response latencies on the change detection task or with sufficient variability in likelihood ratings. </w:t>
      </w:r>
      <w:r w:rsidR="00E20F13" w:rsidRPr="00F1114E">
        <w:t xml:space="preserve">First, we performed a median-split analysis of </w:t>
      </w:r>
      <w:r w:rsidR="00E20F13" w:rsidRPr="00F1114E">
        <w:rPr>
          <w:b/>
          <w:bCs/>
        </w:rPr>
        <w:t>participants</w:t>
      </w:r>
      <w:r w:rsidR="00E20F13" w:rsidRPr="00F1114E">
        <w:t xml:space="preserve"> based on their variability in raw</w:t>
      </w:r>
      <w:r w:rsidR="00E20F13" w:rsidRPr="00F1114E">
        <w:rPr>
          <w:b/>
          <w:bCs/>
        </w:rPr>
        <w:t xml:space="preserve"> change blindness duration</w:t>
      </w:r>
      <w:r w:rsidR="00E20F13" w:rsidRPr="00F1114E">
        <w:t xml:space="preserve"> on the change detection task. We calculated the standard deviation of change detection duration for each participant, computed the median standard deviation (</w:t>
      </w:r>
      <w:proofErr w:type="spellStart"/>
      <w:r w:rsidR="00E20F13" w:rsidRPr="00F1114E">
        <w:rPr>
          <w:i/>
          <w:iCs/>
        </w:rPr>
        <w:t>Mdn</w:t>
      </w:r>
      <w:proofErr w:type="spellEnd"/>
      <w:r w:rsidR="00E20F13" w:rsidRPr="00F1114E">
        <w:t xml:space="preserve"> = 2.88 seconds), and selected participants who had standard deviations greater than the median (that is, people with the most variability in change blindness duration; </w:t>
      </w:r>
      <w:r w:rsidR="00E20F13" w:rsidRPr="00F1114E">
        <w:rPr>
          <w:i/>
          <w:iCs/>
        </w:rPr>
        <w:t>n</w:t>
      </w:r>
      <w:r w:rsidR="00E20F13" w:rsidRPr="00F1114E">
        <w:t xml:space="preserve"> = 107 participants).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00E20F13" w:rsidRPr="00F1114E">
        <w:rPr>
          <w:i/>
          <w:iCs/>
        </w:rPr>
        <w:t>β</w:t>
      </w:r>
      <w:r w:rsidR="00E20F13" w:rsidRPr="00F1114E">
        <w:t xml:space="preserve"> = -0.26, </w:t>
      </w:r>
      <w:r w:rsidR="00E20F13" w:rsidRPr="00F1114E">
        <w:rPr>
          <w:i/>
          <w:iCs/>
        </w:rPr>
        <w:t>p</w:t>
      </w:r>
      <w:r w:rsidR="00E20F13" w:rsidRPr="00F1114E">
        <w:t xml:space="preserve"> &lt; .001, 95% CI = [-0.36, -0.16], such that changes rated as likely to be spotted were detected faster than changes rated as unlikely to be spotted.</w:t>
      </w:r>
    </w:p>
    <w:p w14:paraId="271891A5" w14:textId="77777777" w:rsidR="00E20F13" w:rsidRPr="00F1114E" w:rsidRDefault="00E20F13" w:rsidP="00E20F13"/>
    <w:p w14:paraId="74982D99" w14:textId="77777777" w:rsidR="00E20F13" w:rsidRPr="00F1114E" w:rsidRDefault="00E20F13" w:rsidP="00595E55">
      <w:r w:rsidRPr="00F1114E">
        <w:t xml:space="preserve">Next, we analyzed </w:t>
      </w:r>
      <w:r w:rsidRPr="00F1114E">
        <w:rPr>
          <w:b/>
          <w:bCs/>
        </w:rPr>
        <w:t>participants</w:t>
      </w:r>
      <w:r w:rsidRPr="00F1114E">
        <w:t xml:space="preserve"> based on their variability in </w:t>
      </w:r>
      <w:r w:rsidRPr="00F1114E">
        <w:rPr>
          <w:b/>
          <w:bCs/>
        </w:rPr>
        <w:t>likelihood ratings</w:t>
      </w:r>
      <w:r w:rsidRPr="00F1114E">
        <w:t>. We calculated the standard deviation of likelihood ratings for each participant, computed the median standard deviation (</w:t>
      </w:r>
      <w:proofErr w:type="spellStart"/>
      <w:r w:rsidRPr="00F1114E">
        <w:rPr>
          <w:i/>
          <w:iCs/>
        </w:rPr>
        <w:t>Mdn</w:t>
      </w:r>
      <w:proofErr w:type="spellEnd"/>
      <w:r w:rsidRPr="00F1114E">
        <w:t xml:space="preserve"> = 1.15), and selected participants who had a standard deviation greater than the median (that is, people with the most variability in likelihood ratings; </w:t>
      </w:r>
      <w:r w:rsidRPr="00F1114E">
        <w:rPr>
          <w:i/>
          <w:iCs/>
        </w:rPr>
        <w:t>n</w:t>
      </w:r>
      <w:r w:rsidRPr="00F1114E">
        <w:t xml:space="preserve"> = 107 participants). </w:t>
      </w:r>
      <w:r w:rsidRPr="00F1114E">
        <w:lastRenderedPageBreak/>
        <w:t xml:space="preserve">Fifty-eight of these participants were also included in our analysis of participants and variability in raw change blindness duration.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Pr="00F1114E">
        <w:rPr>
          <w:i/>
          <w:iCs/>
        </w:rPr>
        <w:t>β</w:t>
      </w:r>
      <w:r w:rsidRPr="00F1114E">
        <w:t xml:space="preserve"> = -0.18, </w:t>
      </w:r>
      <w:r w:rsidRPr="00F1114E">
        <w:rPr>
          <w:i/>
          <w:iCs/>
        </w:rPr>
        <w:t>p</w:t>
      </w:r>
      <w:r w:rsidRPr="00F1114E">
        <w:t xml:space="preserve"> &lt; .001, 95% CI = [-0.27, -0.09], such that changes rated as likely to be spotted were detected faster than changes rated as unlikely to be spotted.</w:t>
      </w:r>
    </w:p>
    <w:p w14:paraId="0D1A2B70" w14:textId="77777777" w:rsidR="00E20F13" w:rsidRPr="00F1114E" w:rsidRDefault="00E20F13" w:rsidP="00E20F13"/>
    <w:p w14:paraId="40012E0C" w14:textId="20B47EE5" w:rsidR="00E20F13" w:rsidRPr="00F1114E" w:rsidRDefault="00E20F13" w:rsidP="00595E55">
      <w:r w:rsidRPr="00F1114E">
        <w:t xml:space="preserve">We then analyzed </w:t>
      </w:r>
      <w:r w:rsidRPr="00F1114E">
        <w:rPr>
          <w:b/>
          <w:bCs/>
        </w:rPr>
        <w:t>images</w:t>
      </w:r>
      <w:r w:rsidRPr="00F1114E">
        <w:t xml:space="preserve"> based on their variability on raw</w:t>
      </w:r>
      <w:r w:rsidRPr="00F1114E">
        <w:rPr>
          <w:b/>
          <w:bCs/>
        </w:rPr>
        <w:t xml:space="preserve"> change blindness duration</w:t>
      </w:r>
      <w:r w:rsidRPr="00F1114E">
        <w:t xml:space="preserve"> on the change detection task. We calculated the standard deviation of change detection duration for each image, computed the median standard deviation (</w:t>
      </w:r>
      <w:proofErr w:type="spellStart"/>
      <w:r w:rsidRPr="00F1114E">
        <w:rPr>
          <w:i/>
          <w:iCs/>
        </w:rPr>
        <w:t>Mdn</w:t>
      </w:r>
      <w:proofErr w:type="spellEnd"/>
      <w:r w:rsidRPr="00F1114E">
        <w:t xml:space="preserve"> = 3.78 seconds), and selected images who had standard deviations greater than the median (that is, images with the most variability in change blindness duration; </w:t>
      </w:r>
      <w:r w:rsidRPr="00F1114E">
        <w:rPr>
          <w:i/>
          <w:iCs/>
        </w:rPr>
        <w:t>n</w:t>
      </w:r>
      <w:r w:rsidRPr="00F1114E">
        <w:t xml:space="preserve"> = 239 images).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Pr="00F1114E">
        <w:rPr>
          <w:i/>
          <w:iCs/>
        </w:rPr>
        <w:t>β</w:t>
      </w:r>
      <w:r w:rsidRPr="00F1114E">
        <w:t xml:space="preserve"> = -0.19, </w:t>
      </w:r>
      <w:r w:rsidRPr="00F1114E">
        <w:rPr>
          <w:i/>
          <w:iCs/>
        </w:rPr>
        <w:t>p</w:t>
      </w:r>
      <w:r w:rsidRPr="00F1114E">
        <w:t xml:space="preserve"> &lt; .001, 95% CI = [-0.29, -0.10], such that changes rated as likely to be spotted were detected faster than changes rated as unlikely to be spotted.</w:t>
      </w:r>
    </w:p>
    <w:p w14:paraId="08504B58" w14:textId="77777777" w:rsidR="00E20F13" w:rsidRPr="00F1114E" w:rsidRDefault="00E20F13" w:rsidP="00E20F13"/>
    <w:p w14:paraId="02D36581" w14:textId="0497C60D" w:rsidR="00020D20" w:rsidRPr="00F1114E" w:rsidRDefault="00E20F13" w:rsidP="00E20F13">
      <w:r w:rsidRPr="00F1114E">
        <w:t xml:space="preserve">Finally, we analyzed </w:t>
      </w:r>
      <w:r w:rsidRPr="00F1114E">
        <w:rPr>
          <w:b/>
          <w:bCs/>
        </w:rPr>
        <w:t>images</w:t>
      </w:r>
      <w:r w:rsidRPr="00F1114E">
        <w:t xml:space="preserve"> based on their variability on </w:t>
      </w:r>
      <w:r w:rsidRPr="00F1114E">
        <w:rPr>
          <w:b/>
          <w:bCs/>
        </w:rPr>
        <w:t>likelihood ratings</w:t>
      </w:r>
      <w:r w:rsidRPr="00F1114E">
        <w:t>. We calculated the standard deviation of likelihood ratings for each image, computed the median standard deviation (</w:t>
      </w:r>
      <w:proofErr w:type="spellStart"/>
      <w:r w:rsidRPr="00F1114E">
        <w:rPr>
          <w:i/>
          <w:iCs/>
        </w:rPr>
        <w:t>Mdn</w:t>
      </w:r>
      <w:proofErr w:type="spellEnd"/>
      <w:r w:rsidRPr="00F1114E">
        <w:t xml:space="preserve"> = 0.99), and selected images who had a standard deviation greater than the median (that is, images with the most variability in likelihood ratings; </w:t>
      </w:r>
      <w:r w:rsidRPr="00F1114E">
        <w:rPr>
          <w:i/>
          <w:iCs/>
        </w:rPr>
        <w:t>n</w:t>
      </w:r>
      <w:r w:rsidRPr="00F1114E">
        <w:t xml:space="preserve"> = 238 images). One hundred twenty-two of these images were also included in our analysis of images and variability in raw change blindness duration.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Pr="00F1114E">
        <w:rPr>
          <w:i/>
          <w:iCs/>
        </w:rPr>
        <w:t>β</w:t>
      </w:r>
      <w:r w:rsidRPr="00F1114E">
        <w:t xml:space="preserve"> = -0.18, </w:t>
      </w:r>
      <w:r w:rsidRPr="00F1114E">
        <w:rPr>
          <w:i/>
          <w:iCs/>
        </w:rPr>
        <w:t>p</w:t>
      </w:r>
      <w:r w:rsidRPr="00F1114E">
        <w:t xml:space="preserve"> &lt; .001, 95% CI = [-0.27, -0.08], such that changes rated as likely to be spotted were detected faster than changes rated as unlikely to be spotted.</w:t>
      </w:r>
    </w:p>
    <w:p w14:paraId="599DC59E" w14:textId="1386AB87" w:rsidR="00020D20" w:rsidRPr="00F1114E" w:rsidRDefault="00020D20" w:rsidP="00E20F13"/>
    <w:p w14:paraId="702C3B9F" w14:textId="24F033FF" w:rsidR="00EA1BF2" w:rsidRPr="00F1114E" w:rsidRDefault="00EA1BF2" w:rsidP="00EA1BF2">
      <w:r w:rsidRPr="00F1114E">
        <w:t>Based on the combined results, it appears that the relationship between change blindness duration and likelihood ratings occurs even when we limit our analysis to both participants and images that exhibit sufficient variability in each measure.</w:t>
      </w:r>
    </w:p>
    <w:p w14:paraId="306F1084" w14:textId="77777777" w:rsidR="00EA1BF2" w:rsidRPr="00F1114E" w:rsidRDefault="00EA1BF2" w:rsidP="00E20F13"/>
    <w:p w14:paraId="08A1D567" w14:textId="25547C53" w:rsidR="00513BDA" w:rsidRPr="00F1114E" w:rsidRDefault="00513BDA" w:rsidP="00513BDA">
      <w:pPr>
        <w:rPr>
          <w:b/>
          <w:bCs/>
        </w:rPr>
      </w:pPr>
      <w:r w:rsidRPr="00F1114E">
        <w:rPr>
          <w:b/>
          <w:bCs/>
        </w:rPr>
        <w:t>Low variability</w:t>
      </w:r>
    </w:p>
    <w:p w14:paraId="4DA25534" w14:textId="77777777" w:rsidR="005F7340" w:rsidRPr="00F1114E" w:rsidRDefault="005F7340" w:rsidP="00621D4E">
      <w:pPr>
        <w:rPr>
          <w:u w:val="single"/>
        </w:rPr>
      </w:pPr>
    </w:p>
    <w:p w14:paraId="2B3C24DC" w14:textId="4E6D3847" w:rsidR="003F3EB9" w:rsidRPr="00F1114E" w:rsidRDefault="00513BDA" w:rsidP="00513BDA">
      <w:r w:rsidRPr="00F1114E">
        <w:t xml:space="preserve">Here, we wanted to determine whether our results were driven by a handful of participants and/or images with insufficient variability in response latencies on the change detection task or with insufficient variability in likelihood ratings. </w:t>
      </w:r>
      <w:r w:rsidR="003F3EB9" w:rsidRPr="00F1114E">
        <w:t xml:space="preserve">First, we analyzed </w:t>
      </w:r>
      <w:r w:rsidR="003F3EB9" w:rsidRPr="00F1114E">
        <w:rPr>
          <w:b/>
          <w:bCs/>
        </w:rPr>
        <w:t>participants</w:t>
      </w:r>
      <w:r w:rsidR="003F3EB9" w:rsidRPr="00F1114E">
        <w:t xml:space="preserve"> based on their variability in raw</w:t>
      </w:r>
      <w:r w:rsidR="003F3EB9" w:rsidRPr="00F1114E">
        <w:rPr>
          <w:b/>
          <w:bCs/>
        </w:rPr>
        <w:t xml:space="preserve"> change blindness duration</w:t>
      </w:r>
      <w:r w:rsidR="005F7340" w:rsidRPr="00F1114E">
        <w:rPr>
          <w:b/>
          <w:bCs/>
        </w:rPr>
        <w:t xml:space="preserve"> </w:t>
      </w:r>
      <w:r w:rsidR="005F7340" w:rsidRPr="00F1114E">
        <w:t>on the change detection task. We calculated the standard deviation of change detection duration for each participant, computed the median standard deviation (</w:t>
      </w:r>
      <w:proofErr w:type="spellStart"/>
      <w:r w:rsidR="005F7340" w:rsidRPr="00F1114E">
        <w:rPr>
          <w:i/>
          <w:iCs/>
        </w:rPr>
        <w:t>Mdn</w:t>
      </w:r>
      <w:proofErr w:type="spellEnd"/>
      <w:r w:rsidR="005F7340" w:rsidRPr="00F1114E">
        <w:t xml:space="preserve"> = 2.88 seconds), and selected participants who had standard deviations less than the median (that is, people with the least variability in change blindness duration; </w:t>
      </w:r>
      <w:r w:rsidR="005F7340" w:rsidRPr="00F1114E">
        <w:rPr>
          <w:i/>
          <w:iCs/>
        </w:rPr>
        <w:t>n</w:t>
      </w:r>
      <w:r w:rsidR="005F7340" w:rsidRPr="00F1114E">
        <w:t xml:space="preserve"> = 107 participants). </w:t>
      </w:r>
      <w:r w:rsidR="002B108F" w:rsidRPr="00F1114E">
        <w:t xml:space="preserve">We then re-ran our primary analysis from Experiment 1 (a linear mixed effects model predicting change blindness duration with likelihood ratings as an ordinal fixed effect and </w:t>
      </w:r>
      <w:r w:rsidR="002B108F" w:rsidRPr="00F1114E">
        <w:lastRenderedPageBreak/>
        <w:t xml:space="preserve">participant, image, and stimulus set as random intercepts). </w:t>
      </w:r>
      <w:r w:rsidR="003F3EB9" w:rsidRPr="00F1114E">
        <w:t xml:space="preserve">Likelihood ratings significantly predicted change blindness duration, </w:t>
      </w:r>
      <w:r w:rsidR="003F3EB9" w:rsidRPr="00F1114E">
        <w:rPr>
          <w:i/>
          <w:iCs/>
        </w:rPr>
        <w:t>β</w:t>
      </w:r>
      <w:r w:rsidR="003F3EB9" w:rsidRPr="00F1114E">
        <w:t xml:space="preserve"> = -0.16, </w:t>
      </w:r>
      <w:r w:rsidR="003F3EB9" w:rsidRPr="00F1114E">
        <w:rPr>
          <w:i/>
          <w:iCs/>
        </w:rPr>
        <w:t>p</w:t>
      </w:r>
      <w:r w:rsidR="003F3EB9" w:rsidRPr="00F1114E">
        <w:t xml:space="preserve"> &lt; .001, 95% CI = [-0.2</w:t>
      </w:r>
      <w:r w:rsidR="002B108F" w:rsidRPr="00F1114E">
        <w:t>5</w:t>
      </w:r>
      <w:r w:rsidR="003F3EB9" w:rsidRPr="00F1114E">
        <w:t>, -0.07], such that changes rated as likely to be spotted were detected faster than changes rated as unlikely to be spotted.</w:t>
      </w:r>
    </w:p>
    <w:p w14:paraId="3D5EC71E" w14:textId="4A4BA3F2" w:rsidR="003F3EB9" w:rsidRPr="00F1114E" w:rsidRDefault="003F3EB9" w:rsidP="003F3EB9"/>
    <w:p w14:paraId="78099067" w14:textId="61567A40" w:rsidR="003F3EB9" w:rsidRPr="00F1114E" w:rsidRDefault="005F7340" w:rsidP="009B7EFA">
      <w:r w:rsidRPr="00F1114E">
        <w:t xml:space="preserve">Next, we analyzed </w:t>
      </w:r>
      <w:r w:rsidRPr="00F1114E">
        <w:rPr>
          <w:b/>
          <w:bCs/>
        </w:rPr>
        <w:t>participants</w:t>
      </w:r>
      <w:r w:rsidRPr="00F1114E">
        <w:t xml:space="preserve"> based on their variability in </w:t>
      </w:r>
      <w:r w:rsidRPr="00F1114E">
        <w:rPr>
          <w:b/>
          <w:bCs/>
        </w:rPr>
        <w:t>likelihood ratings</w:t>
      </w:r>
      <w:r w:rsidRPr="00F1114E">
        <w:t>. We calculated the standard deviation of likelihood ratings for each participant, computed the median standard deviation (</w:t>
      </w:r>
      <w:proofErr w:type="spellStart"/>
      <w:r w:rsidRPr="00F1114E">
        <w:rPr>
          <w:i/>
          <w:iCs/>
        </w:rPr>
        <w:t>Mdn</w:t>
      </w:r>
      <w:proofErr w:type="spellEnd"/>
      <w:r w:rsidRPr="00F1114E">
        <w:t xml:space="preserve"> = 1.15), and selected participants who had a standard deviation </w:t>
      </w:r>
      <w:r w:rsidR="00EF3849" w:rsidRPr="00F1114E">
        <w:t>less</w:t>
      </w:r>
      <w:r w:rsidRPr="00F1114E">
        <w:t xml:space="preserve"> than the median (that is, people with the </w:t>
      </w:r>
      <w:r w:rsidR="00EF3849" w:rsidRPr="00F1114E">
        <w:t>least</w:t>
      </w:r>
      <w:r w:rsidRPr="00F1114E">
        <w:t xml:space="preserve"> variability in likelihood ratings; </w:t>
      </w:r>
      <w:r w:rsidRPr="00F1114E">
        <w:rPr>
          <w:i/>
          <w:iCs/>
        </w:rPr>
        <w:t>n</w:t>
      </w:r>
      <w:r w:rsidRPr="00F1114E">
        <w:t xml:space="preserve"> = 107 participants). Fifty-eight of these participants were also included in our analysis of participants and variability in raw change blindness duration.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003F3EB9" w:rsidRPr="00F1114E">
        <w:rPr>
          <w:i/>
          <w:iCs/>
        </w:rPr>
        <w:t>β</w:t>
      </w:r>
      <w:r w:rsidR="003F3EB9" w:rsidRPr="00F1114E">
        <w:t xml:space="preserve"> = -0.32, </w:t>
      </w:r>
      <w:r w:rsidR="003F3EB9" w:rsidRPr="00F1114E">
        <w:rPr>
          <w:i/>
          <w:iCs/>
        </w:rPr>
        <w:t>p</w:t>
      </w:r>
      <w:r w:rsidR="003F3EB9" w:rsidRPr="00F1114E">
        <w:t xml:space="preserve"> &lt; .001, 95% CI = [-0.44, -0.20], such that changes rated as likely to be spotted were detected faster than changes rated as unlikely to be spotted.</w:t>
      </w:r>
    </w:p>
    <w:p w14:paraId="21F5BCB3" w14:textId="33AFAA9B" w:rsidR="003F3EB9" w:rsidRPr="00F1114E" w:rsidRDefault="003F3EB9" w:rsidP="003F3EB9"/>
    <w:p w14:paraId="6B54ED7A" w14:textId="1126CFCA" w:rsidR="003F3EB9" w:rsidRPr="00F1114E" w:rsidRDefault="00EF3849" w:rsidP="009B7EFA">
      <w:r w:rsidRPr="00F1114E">
        <w:t xml:space="preserve">We then analyzed </w:t>
      </w:r>
      <w:r w:rsidRPr="00F1114E">
        <w:rPr>
          <w:b/>
          <w:bCs/>
        </w:rPr>
        <w:t>images</w:t>
      </w:r>
      <w:r w:rsidRPr="00F1114E">
        <w:t xml:space="preserve"> based on their variability on raw</w:t>
      </w:r>
      <w:r w:rsidRPr="00F1114E">
        <w:rPr>
          <w:b/>
          <w:bCs/>
        </w:rPr>
        <w:t xml:space="preserve"> change blindness duration</w:t>
      </w:r>
      <w:r w:rsidRPr="00F1114E">
        <w:t xml:space="preserve"> on the change detection task. We calculated the standard deviation of change detection duration for each image, computed the median standard deviation (</w:t>
      </w:r>
      <w:proofErr w:type="spellStart"/>
      <w:r w:rsidRPr="00F1114E">
        <w:rPr>
          <w:i/>
          <w:iCs/>
        </w:rPr>
        <w:t>Mdn</w:t>
      </w:r>
      <w:proofErr w:type="spellEnd"/>
      <w:r w:rsidRPr="00F1114E">
        <w:t xml:space="preserve"> = 3.78 seconds), and selected images who had standard deviations less than the median (that is, images with the least variability in change blindness duration; </w:t>
      </w:r>
      <w:r w:rsidRPr="00F1114E">
        <w:rPr>
          <w:i/>
          <w:iCs/>
        </w:rPr>
        <w:t>n</w:t>
      </w:r>
      <w:r w:rsidRPr="00F1114E">
        <w:t xml:space="preserve"> = 239 images). We then re-ran our primary analysis from Experiment 1 (a linear mixed effects model predicting change blindness duration with likelihood ratings as an ordinal fixed effect and participant, image, and stimulus set as random intercepts). Likelihood ratings significantly predicted change blindness duration, </w:t>
      </w:r>
      <w:r w:rsidR="003F3EB9" w:rsidRPr="00F1114E">
        <w:rPr>
          <w:i/>
          <w:iCs/>
        </w:rPr>
        <w:t>β</w:t>
      </w:r>
      <w:r w:rsidR="003F3EB9" w:rsidRPr="00F1114E">
        <w:t xml:space="preserve"> = -0.12, </w:t>
      </w:r>
      <w:r w:rsidR="003F3EB9" w:rsidRPr="00F1114E">
        <w:rPr>
          <w:i/>
          <w:iCs/>
        </w:rPr>
        <w:t>p</w:t>
      </w:r>
      <w:r w:rsidR="003F3EB9" w:rsidRPr="00F1114E">
        <w:t xml:space="preserve"> &lt; .05, 95% CI = [-0.22, -0.03], such that changes rated as likely to be spotted were detected faster than changes rated as unlikely to be spotted.</w:t>
      </w:r>
    </w:p>
    <w:p w14:paraId="7D5750D4" w14:textId="77777777" w:rsidR="00EF3849" w:rsidRPr="00F1114E" w:rsidRDefault="00EF3849" w:rsidP="00621D4E"/>
    <w:p w14:paraId="5D994D2F" w14:textId="628EF744" w:rsidR="003F3EB9" w:rsidRPr="00F1114E" w:rsidRDefault="00EF3849" w:rsidP="00EF3849">
      <w:r w:rsidRPr="00F1114E">
        <w:t xml:space="preserve">Finally, we analyzed </w:t>
      </w:r>
      <w:r w:rsidRPr="00F1114E">
        <w:rPr>
          <w:b/>
          <w:bCs/>
        </w:rPr>
        <w:t>images</w:t>
      </w:r>
      <w:r w:rsidRPr="00F1114E">
        <w:t xml:space="preserve"> based on their variability on </w:t>
      </w:r>
      <w:r w:rsidRPr="00F1114E">
        <w:rPr>
          <w:b/>
          <w:bCs/>
        </w:rPr>
        <w:t>likelihood ratings</w:t>
      </w:r>
      <w:r w:rsidRPr="00F1114E">
        <w:t>. We calculated the standard deviation of likelihood ratings for each image, computed the median standard deviation (</w:t>
      </w:r>
      <w:proofErr w:type="spellStart"/>
      <w:r w:rsidRPr="00F1114E">
        <w:rPr>
          <w:i/>
          <w:iCs/>
        </w:rPr>
        <w:t>Mdn</w:t>
      </w:r>
      <w:proofErr w:type="spellEnd"/>
      <w:r w:rsidRPr="00F1114E">
        <w:t xml:space="preserve"> = 0.99), and selected images who had a standard deviation less than the median (that is, images with the least variability in likelihood ratings; </w:t>
      </w:r>
      <w:r w:rsidRPr="00F1114E">
        <w:rPr>
          <w:i/>
          <w:iCs/>
        </w:rPr>
        <w:t>n</w:t>
      </w:r>
      <w:r w:rsidRPr="00F1114E">
        <w:t xml:space="preserve"> = 237 images). One hundred twenty-one of these images were also included in our analysis of images and variability in raw change blindness duration. We then re-ran our primary analysis from Experiment 1 (a linear mixed effects model predicting change blindness duration with likelihood ratings as an ordinal fixed effect and participant, image, and stimulus set as random intercepts). </w:t>
      </w:r>
      <w:r w:rsidR="003F3EB9" w:rsidRPr="00F1114E">
        <w:t xml:space="preserve">Likelihood ratings significantly predicted change blindness duration, </w:t>
      </w:r>
      <w:r w:rsidR="003F3EB9" w:rsidRPr="00F1114E">
        <w:rPr>
          <w:i/>
          <w:iCs/>
        </w:rPr>
        <w:t>β</w:t>
      </w:r>
      <w:r w:rsidR="003F3EB9" w:rsidRPr="00F1114E">
        <w:t xml:space="preserve"> = -0.27, </w:t>
      </w:r>
      <w:r w:rsidR="003F3EB9" w:rsidRPr="00F1114E">
        <w:rPr>
          <w:i/>
          <w:iCs/>
        </w:rPr>
        <w:t>p</w:t>
      </w:r>
      <w:r w:rsidR="003F3EB9" w:rsidRPr="00F1114E">
        <w:t xml:space="preserve"> &lt; .001, 95% CI = [-0.38, -0.16], such that changes rated as likely to be spotted were detected faster than changes rated as unlikely to be spotted.</w:t>
      </w:r>
    </w:p>
    <w:p w14:paraId="06A5A716" w14:textId="77777777" w:rsidR="003F3EB9" w:rsidRPr="00F1114E" w:rsidRDefault="003F3EB9" w:rsidP="009B7EFA"/>
    <w:p w14:paraId="05DADC41" w14:textId="7DEA89A8" w:rsidR="00EA1BF2" w:rsidRPr="00F1114E" w:rsidRDefault="00EA1BF2" w:rsidP="00EA1BF2">
      <w:r w:rsidRPr="00F1114E">
        <w:t>Based on the combined results, it appears that the relationship between change blindness duration and likelihood ratings occurs even when we limit our analysis to both participants and images that exhibit insufficient variability in each measure.</w:t>
      </w:r>
    </w:p>
    <w:p w14:paraId="1285C9A3" w14:textId="77777777" w:rsidR="000B1658" w:rsidRPr="00F1114E" w:rsidRDefault="000B1658" w:rsidP="00FF0521">
      <w:pPr>
        <w:rPr>
          <w:b/>
          <w:bCs/>
          <w:u w:val="single"/>
        </w:rPr>
      </w:pPr>
    </w:p>
    <w:p w14:paraId="6261ADB4" w14:textId="623E7E72" w:rsidR="00FF0521" w:rsidRPr="00F1114E" w:rsidRDefault="00FF0521" w:rsidP="00FF0521">
      <w:pPr>
        <w:rPr>
          <w:b/>
          <w:bCs/>
          <w:u w:val="single"/>
        </w:rPr>
      </w:pPr>
      <w:r w:rsidRPr="00F1114E">
        <w:rPr>
          <w:b/>
          <w:bCs/>
          <w:u w:val="single"/>
        </w:rPr>
        <w:t>Variability in predictions</w:t>
      </w:r>
    </w:p>
    <w:p w14:paraId="1E87C5B5" w14:textId="59B88379" w:rsidR="00406AF9" w:rsidRPr="00F1114E" w:rsidRDefault="00406AF9" w:rsidP="00406AF9">
      <w:pPr>
        <w:rPr>
          <w:b/>
          <w:bCs/>
          <w:u w:val="single"/>
        </w:rPr>
      </w:pPr>
    </w:p>
    <w:p w14:paraId="0B617DC6" w14:textId="0939FA76" w:rsidR="00B41EA8" w:rsidRPr="00F1114E" w:rsidRDefault="00406AF9" w:rsidP="007F650D">
      <w:pPr>
        <w:pStyle w:val="NormalWeb"/>
        <w:spacing w:before="0" w:beforeAutospacing="0" w:after="0" w:afterAutospacing="0"/>
        <w:textAlignment w:val="baseline"/>
      </w:pPr>
      <w:r w:rsidRPr="00F1114E">
        <w:lastRenderedPageBreak/>
        <w:t>To analyze the variability in the relationship between change blindness duration and change detection duration, we calculated the correlation between each measure for every participant</w:t>
      </w:r>
      <w:r w:rsidR="00B41EA8" w:rsidRPr="00F1114E">
        <w:t xml:space="preserve"> and averaged those correlations. When we do so for Experiment 1, we get an average correlation of -0.12 (</w:t>
      </w:r>
      <w:r w:rsidR="00B41EA8" w:rsidRPr="00F1114E">
        <w:rPr>
          <w:i/>
          <w:iCs/>
        </w:rPr>
        <w:t>SD</w:t>
      </w:r>
      <w:r w:rsidR="00B41EA8" w:rsidRPr="00F1114E">
        <w:t xml:space="preserve"> = 0.23). The corresponding distribution is plotted below (the dotted line corresponds to the average correlation). As depicted, there is a small negative association such that changes rated as likely to be spotted were detected faster than changes rated as unlikely to be spotted.</w:t>
      </w:r>
    </w:p>
    <w:p w14:paraId="1698A72E" w14:textId="104A2B5B" w:rsidR="00406AF9" w:rsidRPr="00F1114E" w:rsidRDefault="00406AF9" w:rsidP="00406AF9"/>
    <w:p w14:paraId="6A74B47C" w14:textId="3AE1FCA1" w:rsidR="00B41EA8" w:rsidRPr="00F1114E" w:rsidRDefault="00B41EA8" w:rsidP="001E262A">
      <w:pPr>
        <w:jc w:val="center"/>
        <w:rPr>
          <w:bdr w:val="none" w:sz="0" w:space="0" w:color="auto" w:frame="1"/>
        </w:rPr>
      </w:pPr>
      <w:r w:rsidRPr="00F1114E">
        <w:rPr>
          <w:bdr w:val="none" w:sz="0" w:space="0" w:color="auto" w:frame="1"/>
        </w:rPr>
        <w:fldChar w:fldCharType="begin"/>
      </w:r>
      <w:r w:rsidRPr="00F1114E">
        <w:rPr>
          <w:bdr w:val="none" w:sz="0" w:space="0" w:color="auto" w:frame="1"/>
        </w:rPr>
        <w:instrText xml:space="preserve"> INCLUDEPICTURE "https://lh5.googleusercontent.com/tttCGfMs_wHGsmHW9olRgrBndTO4rB12t-3V_aMp8fSoubdjWuYz34kykxba4ATi5jm5Liqy2-89njsf4aD8FU0yx5yJ3bWE2wYQQ1RlqXOndxn0uAe9J1niRB3oKNyrKQiNV2Kx" \* MERGEFORMATINET </w:instrText>
      </w:r>
      <w:r w:rsidRPr="00F1114E">
        <w:rPr>
          <w:bdr w:val="none" w:sz="0" w:space="0" w:color="auto" w:frame="1"/>
        </w:rPr>
        <w:fldChar w:fldCharType="separate"/>
      </w:r>
      <w:r w:rsidRPr="00F1114E">
        <w:rPr>
          <w:noProof/>
          <w:bdr w:val="none" w:sz="0" w:space="0" w:color="auto" w:frame="1"/>
        </w:rPr>
        <w:drawing>
          <wp:inline distT="0" distB="0" distL="0" distR="0" wp14:anchorId="37EF17E6" wp14:editId="2125857F">
            <wp:extent cx="4114800" cy="2535263"/>
            <wp:effectExtent l="0" t="0" r="0" b="508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2535263"/>
                    </a:xfrm>
                    <a:prstGeom prst="rect">
                      <a:avLst/>
                    </a:prstGeom>
                    <a:noFill/>
                    <a:ln>
                      <a:noFill/>
                    </a:ln>
                  </pic:spPr>
                </pic:pic>
              </a:graphicData>
            </a:graphic>
          </wp:inline>
        </w:drawing>
      </w:r>
      <w:r w:rsidRPr="00F1114E">
        <w:rPr>
          <w:bdr w:val="none" w:sz="0" w:space="0" w:color="auto" w:frame="1"/>
        </w:rPr>
        <w:fldChar w:fldCharType="end"/>
      </w:r>
    </w:p>
    <w:p w14:paraId="739E959F" w14:textId="4F649D9C" w:rsidR="001E262A" w:rsidRPr="00F1114E" w:rsidRDefault="001E262A" w:rsidP="007F650D">
      <w:pPr>
        <w:jc w:val="center"/>
        <w:rPr>
          <w:bdr w:val="none" w:sz="0" w:space="0" w:color="auto" w:frame="1"/>
        </w:rPr>
      </w:pPr>
    </w:p>
    <w:p w14:paraId="38A827C4" w14:textId="256EF79D" w:rsidR="00F74114" w:rsidRPr="00F1114E" w:rsidRDefault="00F74114" w:rsidP="00F74114">
      <w:r w:rsidRPr="00F1114E">
        <w:rPr>
          <w:bdr w:val="none" w:sz="0" w:space="0" w:color="auto" w:frame="1"/>
        </w:rPr>
        <w:t xml:space="preserve">To determine how much of the effect is driven by a small subset of participants/items (those with sufficient variability), </w:t>
      </w:r>
      <w:r w:rsidRPr="00F1114E">
        <w:t>we approached this in two ways.</w:t>
      </w:r>
      <w:r w:rsidRPr="00F1114E">
        <w:rPr>
          <w:bdr w:val="none" w:sz="0" w:space="0" w:color="auto" w:frame="1"/>
        </w:rPr>
        <w:t xml:space="preserve"> First, we removed participants and images with the top 10% of variability in change blindness duration and likelihood ratings and analyzed the data in our primary model from Experiment 1</w:t>
      </w:r>
      <w:r w:rsidRPr="00F1114E">
        <w:t xml:space="preserve"> (a linear mixed effects model predicting change blindness duration with likelihood ratings as an ordinal fixed effect and participant, image, and stimulus set as random intercepts) and plotted individual correlations between change blindness duration and likelihood rating against the amount of variability that participants exhibited in change blindness duration and likelihood ratings.</w:t>
      </w:r>
    </w:p>
    <w:p w14:paraId="7AF70CC2" w14:textId="260A5BE0" w:rsidR="00F74114" w:rsidRPr="00F1114E" w:rsidRDefault="00F74114" w:rsidP="00B41EA8">
      <w:pPr>
        <w:rPr>
          <w:bdr w:val="none" w:sz="0" w:space="0" w:color="auto" w:frame="1"/>
        </w:rPr>
      </w:pPr>
    </w:p>
    <w:p w14:paraId="7D818A44" w14:textId="77777777" w:rsidR="00F74114" w:rsidRPr="00F1114E" w:rsidRDefault="00F74114" w:rsidP="00F74114">
      <w:r w:rsidRPr="00F1114E">
        <w:t xml:space="preserve">For the first approach, we removed </w:t>
      </w:r>
      <w:r w:rsidRPr="00F1114E">
        <w:rPr>
          <w:b/>
          <w:bCs/>
        </w:rPr>
        <w:t>participants</w:t>
      </w:r>
      <w:r w:rsidRPr="00F1114E">
        <w:t xml:space="preserve"> with the top 10% of variability in </w:t>
      </w:r>
      <w:r w:rsidRPr="00F1114E">
        <w:rPr>
          <w:b/>
          <w:bCs/>
        </w:rPr>
        <w:t xml:space="preserve">change blindness duration </w:t>
      </w:r>
      <w:r w:rsidRPr="00F1114E">
        <w:t xml:space="preserve">and analyzed the remaining 90% of participants. Likelihood ratings significantly predicted change blindness duration, </w:t>
      </w:r>
      <w:r w:rsidRPr="00F1114E">
        <w:rPr>
          <w:i/>
          <w:iCs/>
        </w:rPr>
        <w:t>β</w:t>
      </w:r>
      <w:r w:rsidRPr="00F1114E">
        <w:t xml:space="preserve"> = -0.17, </w:t>
      </w:r>
      <w:r w:rsidRPr="00F1114E">
        <w:rPr>
          <w:i/>
          <w:iCs/>
        </w:rPr>
        <w:t>p</w:t>
      </w:r>
      <w:r w:rsidRPr="00F1114E">
        <w:t xml:space="preserve"> &lt; .001, 95% CI = [-0.24, -0.09]. Next, we removed </w:t>
      </w:r>
      <w:r w:rsidRPr="00F1114E">
        <w:rPr>
          <w:b/>
          <w:bCs/>
        </w:rPr>
        <w:t>participants</w:t>
      </w:r>
      <w:r w:rsidRPr="00F1114E">
        <w:t xml:space="preserve"> with the top 10% of variability in </w:t>
      </w:r>
      <w:r w:rsidRPr="00F1114E">
        <w:rPr>
          <w:b/>
          <w:bCs/>
        </w:rPr>
        <w:t>likelihood ratings</w:t>
      </w:r>
      <w:r w:rsidRPr="00F1114E">
        <w:t xml:space="preserve"> and analyzed the remaining 90% of participants. Likelihood ratings significantly predicted change blindness duration, </w:t>
      </w:r>
      <w:r w:rsidRPr="00F1114E">
        <w:rPr>
          <w:i/>
          <w:iCs/>
        </w:rPr>
        <w:t>β</w:t>
      </w:r>
      <w:r w:rsidRPr="00F1114E">
        <w:t xml:space="preserve"> = -0.25, </w:t>
      </w:r>
      <w:r w:rsidRPr="00F1114E">
        <w:rPr>
          <w:i/>
          <w:iCs/>
        </w:rPr>
        <w:t>p</w:t>
      </w:r>
      <w:r w:rsidRPr="00F1114E">
        <w:t xml:space="preserve"> &lt; .001, 95% CI = [-0.33, -0.17]. We then removed </w:t>
      </w:r>
      <w:r w:rsidRPr="00F1114E">
        <w:rPr>
          <w:b/>
          <w:bCs/>
        </w:rPr>
        <w:t>images</w:t>
      </w:r>
      <w:r w:rsidRPr="00F1114E">
        <w:t xml:space="preserve"> with the top 10% of variability in raw</w:t>
      </w:r>
      <w:r w:rsidRPr="00F1114E">
        <w:rPr>
          <w:b/>
          <w:bCs/>
        </w:rPr>
        <w:t xml:space="preserve"> change blindness duration</w:t>
      </w:r>
      <w:r w:rsidRPr="00F1114E">
        <w:t xml:space="preserve"> and analyzed the remaining 90% of images. Likelihood ratings significantly predicted change blindness duration, </w:t>
      </w:r>
      <w:r w:rsidRPr="00F1114E">
        <w:rPr>
          <w:i/>
          <w:iCs/>
        </w:rPr>
        <w:t>β</w:t>
      </w:r>
      <w:r w:rsidRPr="00F1114E">
        <w:t xml:space="preserve"> = -0.15, </w:t>
      </w:r>
      <w:r w:rsidRPr="00F1114E">
        <w:rPr>
          <w:i/>
          <w:iCs/>
        </w:rPr>
        <w:t>p</w:t>
      </w:r>
      <w:r w:rsidRPr="00F1114E">
        <w:t xml:space="preserve"> &lt; .001, 95% CI = [-0.23, -0.08]. Finally, we removed </w:t>
      </w:r>
      <w:r w:rsidRPr="00F1114E">
        <w:rPr>
          <w:b/>
          <w:bCs/>
        </w:rPr>
        <w:t>images</w:t>
      </w:r>
      <w:r w:rsidRPr="00F1114E">
        <w:t xml:space="preserve"> with the top 10% of variability in </w:t>
      </w:r>
      <w:r w:rsidRPr="00F1114E">
        <w:rPr>
          <w:b/>
          <w:bCs/>
        </w:rPr>
        <w:t>likelihood ratings</w:t>
      </w:r>
      <w:r w:rsidRPr="00F1114E">
        <w:t xml:space="preserve"> and analyzed the remaining 90% of images. Likelihood ratings significantly predicted change blindness duration, </w:t>
      </w:r>
      <w:r w:rsidRPr="00F1114E">
        <w:rPr>
          <w:i/>
          <w:iCs/>
        </w:rPr>
        <w:t>β</w:t>
      </w:r>
      <w:r w:rsidRPr="00F1114E">
        <w:t xml:space="preserve"> = -0.23, </w:t>
      </w:r>
      <w:r w:rsidRPr="00F1114E">
        <w:rPr>
          <w:i/>
          <w:iCs/>
        </w:rPr>
        <w:t>p</w:t>
      </w:r>
      <w:r w:rsidRPr="00F1114E">
        <w:t xml:space="preserve"> &lt; .001, 95% CI = [-0.31, -0.16]. For all four results, changes rated as likely to be spotted were detected faster than changes rated as unlikely to be spotted, suggesting that the effects do not appear to be driven by a small subset of participants/images with sufficient variability.</w:t>
      </w:r>
    </w:p>
    <w:p w14:paraId="1BADBDDC" w14:textId="0F2C9B52" w:rsidR="00F74114" w:rsidRPr="00F1114E" w:rsidRDefault="00F74114" w:rsidP="00B41EA8">
      <w:pPr>
        <w:rPr>
          <w:bdr w:val="none" w:sz="0" w:space="0" w:color="auto" w:frame="1"/>
        </w:rPr>
      </w:pPr>
    </w:p>
    <w:p w14:paraId="3B4395AA" w14:textId="77777777" w:rsidR="00F74114" w:rsidRPr="00F1114E" w:rsidRDefault="00F74114" w:rsidP="00F74114">
      <w:r w:rsidRPr="00F1114E">
        <w:lastRenderedPageBreak/>
        <w:t xml:space="preserve">For the second approach, we plotted individual correlations between change blindness duration and likelihood rating against the amount of variability that participants exhibited separately in change blindness duration and likelihood ratings. For change blindness duration, there was a significant negative correlation. </w:t>
      </w:r>
      <w:proofErr w:type="gramStart"/>
      <w:r w:rsidRPr="00F1114E">
        <w:rPr>
          <w:i/>
          <w:iCs/>
        </w:rPr>
        <w:t>r</w:t>
      </w:r>
      <w:r w:rsidRPr="00F1114E">
        <w:t>(</w:t>
      </w:r>
      <w:proofErr w:type="gramEnd"/>
      <w:r w:rsidRPr="00F1114E">
        <w:t xml:space="preserve">209) = -.16, </w:t>
      </w:r>
      <w:r w:rsidRPr="00F1114E">
        <w:rPr>
          <w:i/>
          <w:iCs/>
        </w:rPr>
        <w:t>p</w:t>
      </w:r>
      <w:r w:rsidRPr="00F1114E">
        <w:t xml:space="preserve"> = .018, meaning that participants with a greater negative correlation between change blindness duration and likelihood rating (indicating that changes rated as likely to be spotted were detected faster than changes rating as unlikely to be spotted) exhibited more variability in change blindness duration.</w:t>
      </w:r>
    </w:p>
    <w:p w14:paraId="3D4F4825" w14:textId="21B58996" w:rsidR="00F74114" w:rsidRPr="00F1114E" w:rsidRDefault="00F74114" w:rsidP="00B41EA8">
      <w:pPr>
        <w:rPr>
          <w:bdr w:val="none" w:sz="0" w:space="0" w:color="auto" w:frame="1"/>
        </w:rPr>
      </w:pPr>
    </w:p>
    <w:p w14:paraId="0E99A561" w14:textId="582FED15" w:rsidR="009F04BE" w:rsidRPr="00F1114E" w:rsidRDefault="009F04BE" w:rsidP="007F650D">
      <w:pPr>
        <w:jc w:val="center"/>
      </w:pPr>
      <w:r w:rsidRPr="00F1114E">
        <w:rPr>
          <w:bdr w:val="none" w:sz="0" w:space="0" w:color="auto" w:frame="1"/>
        </w:rPr>
        <w:fldChar w:fldCharType="begin"/>
      </w:r>
      <w:r w:rsidRPr="00F1114E">
        <w:rPr>
          <w:bdr w:val="none" w:sz="0" w:space="0" w:color="auto" w:frame="1"/>
        </w:rPr>
        <w:instrText xml:space="preserve"> INCLUDEPICTURE "https://lh6.googleusercontent.com/02N52nlCZBkjTRcc0WYYc3ZpO96sk7a7PzSF-QprPv7OkBeuPmDA1PiQm2LEpKyfIO8zhpbItcVwno7mDtOcmavsByENLFx-ckTsTDnHtFuwF2kMThScEvyjhglD4HGTEjgoLnVa1h8v6K5bPw" \* MERGEFORMATINET </w:instrText>
      </w:r>
      <w:r w:rsidRPr="00F1114E">
        <w:rPr>
          <w:bdr w:val="none" w:sz="0" w:space="0" w:color="auto" w:frame="1"/>
        </w:rPr>
        <w:fldChar w:fldCharType="separate"/>
      </w:r>
      <w:r w:rsidRPr="00F1114E">
        <w:rPr>
          <w:noProof/>
          <w:bdr w:val="none" w:sz="0" w:space="0" w:color="auto" w:frame="1"/>
        </w:rPr>
        <w:drawing>
          <wp:inline distT="0" distB="0" distL="0" distR="0" wp14:anchorId="79A01D86" wp14:editId="38D2BBAC">
            <wp:extent cx="4114800" cy="2535265"/>
            <wp:effectExtent l="0" t="0" r="0" b="508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2535265"/>
                    </a:xfrm>
                    <a:prstGeom prst="rect">
                      <a:avLst/>
                    </a:prstGeom>
                    <a:noFill/>
                    <a:ln>
                      <a:noFill/>
                    </a:ln>
                  </pic:spPr>
                </pic:pic>
              </a:graphicData>
            </a:graphic>
          </wp:inline>
        </w:drawing>
      </w:r>
      <w:r w:rsidRPr="00F1114E">
        <w:rPr>
          <w:bdr w:val="none" w:sz="0" w:space="0" w:color="auto" w:frame="1"/>
        </w:rPr>
        <w:fldChar w:fldCharType="end"/>
      </w:r>
    </w:p>
    <w:p w14:paraId="4C6C143C" w14:textId="60AE0BAA" w:rsidR="009F04BE" w:rsidRPr="00F1114E" w:rsidRDefault="009F04BE" w:rsidP="00B41EA8">
      <w:pPr>
        <w:rPr>
          <w:bdr w:val="none" w:sz="0" w:space="0" w:color="auto" w:frame="1"/>
        </w:rPr>
      </w:pPr>
    </w:p>
    <w:p w14:paraId="15B6A961" w14:textId="77777777" w:rsidR="009F04BE" w:rsidRPr="00F1114E" w:rsidRDefault="009F04BE" w:rsidP="007F650D">
      <w:r w:rsidRPr="00F1114E">
        <w:t>However, there was no significant correlation for the likelihood ratings (</w:t>
      </w:r>
      <w:r w:rsidRPr="00F1114E">
        <w:rPr>
          <w:i/>
          <w:iCs/>
        </w:rPr>
        <w:t>p</w:t>
      </w:r>
      <w:r w:rsidRPr="00F1114E">
        <w:t xml:space="preserve"> = .971), suggesting that variability in likelihood ratings is not associated with the pattern of our main result – </w:t>
      </w:r>
      <w:proofErr w:type="gramStart"/>
      <w:r w:rsidRPr="00F1114E">
        <w:t>that changes</w:t>
      </w:r>
      <w:proofErr w:type="gramEnd"/>
      <w:r w:rsidRPr="00F1114E">
        <w:t xml:space="preserve"> rated as likely to be spotted are detected faster than changes rated as unlikely to be spotted. </w:t>
      </w:r>
    </w:p>
    <w:p w14:paraId="1B8CA158" w14:textId="77777777" w:rsidR="009F04BE" w:rsidRPr="00F1114E" w:rsidRDefault="009F04BE" w:rsidP="009F04BE"/>
    <w:p w14:paraId="30F925C5" w14:textId="524D4945" w:rsidR="009F04BE" w:rsidRPr="00F1114E" w:rsidRDefault="009F04BE" w:rsidP="007F650D">
      <w:pPr>
        <w:jc w:val="center"/>
      </w:pPr>
      <w:r w:rsidRPr="00F1114E">
        <w:rPr>
          <w:bdr w:val="none" w:sz="0" w:space="0" w:color="auto" w:frame="1"/>
        </w:rPr>
        <w:fldChar w:fldCharType="begin"/>
      </w:r>
      <w:r w:rsidRPr="00F1114E">
        <w:rPr>
          <w:bdr w:val="none" w:sz="0" w:space="0" w:color="auto" w:frame="1"/>
        </w:rPr>
        <w:instrText xml:space="preserve"> INCLUDEPICTURE "https://lh3.googleusercontent.com/puFlMSnhWXqy7gFSKvuEFv3Q1-EW-TBxzTSiPNQCbnoAxaHVz_QCo_p3AoP3A4hFX6P3yN4pWqVHKnnKPZr7r_7n1-glErLUWKAnuNWtj4ZgWRGfiogdWvoyY_B9soVFHw6W30lFtRAqeLCC4g" \* MERGEFORMATINET </w:instrText>
      </w:r>
      <w:r w:rsidRPr="00F1114E">
        <w:rPr>
          <w:bdr w:val="none" w:sz="0" w:space="0" w:color="auto" w:frame="1"/>
        </w:rPr>
        <w:fldChar w:fldCharType="separate"/>
      </w:r>
      <w:r w:rsidRPr="00F1114E">
        <w:rPr>
          <w:noProof/>
          <w:bdr w:val="none" w:sz="0" w:space="0" w:color="auto" w:frame="1"/>
        </w:rPr>
        <w:drawing>
          <wp:inline distT="0" distB="0" distL="0" distR="0" wp14:anchorId="75900412" wp14:editId="35492998">
            <wp:extent cx="4114800" cy="2535265"/>
            <wp:effectExtent l="0" t="0" r="0" b="508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535265"/>
                    </a:xfrm>
                    <a:prstGeom prst="rect">
                      <a:avLst/>
                    </a:prstGeom>
                    <a:noFill/>
                    <a:ln>
                      <a:noFill/>
                    </a:ln>
                  </pic:spPr>
                </pic:pic>
              </a:graphicData>
            </a:graphic>
          </wp:inline>
        </w:drawing>
      </w:r>
      <w:r w:rsidRPr="00F1114E">
        <w:rPr>
          <w:bdr w:val="none" w:sz="0" w:space="0" w:color="auto" w:frame="1"/>
        </w:rPr>
        <w:fldChar w:fldCharType="end"/>
      </w:r>
    </w:p>
    <w:p w14:paraId="10026CD3" w14:textId="0FEB4E01" w:rsidR="009F04BE" w:rsidRPr="00F1114E" w:rsidRDefault="009F04BE" w:rsidP="00B41EA8">
      <w:pPr>
        <w:rPr>
          <w:bdr w:val="none" w:sz="0" w:space="0" w:color="auto" w:frame="1"/>
        </w:rPr>
      </w:pPr>
    </w:p>
    <w:p w14:paraId="511C438B" w14:textId="77777777" w:rsidR="007F650D" w:rsidRPr="00F1114E" w:rsidRDefault="007F650D" w:rsidP="00B41EA8">
      <w:pPr>
        <w:rPr>
          <w:bdr w:val="none" w:sz="0" w:space="0" w:color="auto" w:frame="1"/>
        </w:rPr>
      </w:pPr>
    </w:p>
    <w:p w14:paraId="214DAD94" w14:textId="31952D1C" w:rsidR="00C24C3A" w:rsidRPr="00F1114E" w:rsidRDefault="00FF0521" w:rsidP="00FF0521">
      <w:pPr>
        <w:rPr>
          <w:b/>
          <w:bCs/>
          <w:u w:val="single"/>
        </w:rPr>
      </w:pPr>
      <w:r w:rsidRPr="00F1114E">
        <w:rPr>
          <w:b/>
          <w:bCs/>
          <w:u w:val="single"/>
        </w:rPr>
        <w:t>Variability in stimulus sets</w:t>
      </w:r>
    </w:p>
    <w:p w14:paraId="0C1387DD" w14:textId="644FE85F" w:rsidR="00FF0521" w:rsidRPr="00F1114E" w:rsidRDefault="00FF0521" w:rsidP="00FF0521">
      <w:pPr>
        <w:rPr>
          <w:u w:val="single"/>
        </w:rPr>
      </w:pPr>
    </w:p>
    <w:p w14:paraId="745D22CE" w14:textId="43C2C36E" w:rsidR="00723960" w:rsidRPr="00F1114E" w:rsidRDefault="007F650D" w:rsidP="000B1658">
      <w:r w:rsidRPr="00F1114E">
        <w:t>To determine the extent that the effects were driven by certain stimulus sets (particularly those where there was more variability in change detection times), w</w:t>
      </w:r>
      <w:r w:rsidR="000B1658" w:rsidRPr="00F1114E">
        <w:t xml:space="preserve">e ran the fixed effects model from Experiment 1 (predicting changing blindness duration with change detection likelihood ratings as a fixed effect and participant, image pair, and stimulus set as random intercepts) on the data three times–without the Wolfe1 stimulus set, without the Wolfe2 stimulus set, and without both Wolfe1 and Wolfe2 stimulus sets. Change detection likelihood ratings continued to significantly predict change blindness duration when the Wolfe1 stimulus set was removed, </w:t>
      </w:r>
      <w:r w:rsidR="000B1658" w:rsidRPr="00F1114E">
        <w:rPr>
          <w:i/>
          <w:iCs/>
        </w:rPr>
        <w:t>β</w:t>
      </w:r>
      <w:r w:rsidR="000B1658" w:rsidRPr="00F1114E">
        <w:t xml:space="preserve"> = -0.17, </w:t>
      </w:r>
      <w:r w:rsidR="000B1658" w:rsidRPr="00F1114E">
        <w:rPr>
          <w:i/>
          <w:iCs/>
        </w:rPr>
        <w:t>p</w:t>
      </w:r>
      <w:r w:rsidR="000B1658" w:rsidRPr="00F1114E">
        <w:t xml:space="preserve"> &lt; .001, 95% CI = [-0.24, -0.09]</w:t>
      </w:r>
      <w:r w:rsidR="00723960" w:rsidRPr="00F1114E">
        <w:t>. (Note: each dot represents a single image).</w:t>
      </w:r>
    </w:p>
    <w:p w14:paraId="775288D5" w14:textId="345846EB" w:rsidR="00723960" w:rsidRPr="00F1114E" w:rsidRDefault="00723960" w:rsidP="000B1658"/>
    <w:p w14:paraId="39A582CF" w14:textId="774A5BEE" w:rsidR="00723960" w:rsidRPr="00F1114E" w:rsidRDefault="00723960" w:rsidP="007F650D">
      <w:pPr>
        <w:jc w:val="center"/>
      </w:pPr>
      <w:r w:rsidRPr="00F1114E">
        <w:rPr>
          <w:noProof/>
        </w:rPr>
        <w:drawing>
          <wp:inline distT="0" distB="0" distL="0" distR="0" wp14:anchorId="7AB5B324" wp14:editId="70AF8590">
            <wp:extent cx="4114800" cy="2540978"/>
            <wp:effectExtent l="0" t="0" r="0" b="0"/>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2540978"/>
                    </a:xfrm>
                    <a:prstGeom prst="rect">
                      <a:avLst/>
                    </a:prstGeom>
                  </pic:spPr>
                </pic:pic>
              </a:graphicData>
            </a:graphic>
          </wp:inline>
        </w:drawing>
      </w:r>
    </w:p>
    <w:p w14:paraId="6C2E2706" w14:textId="77777777" w:rsidR="00723960" w:rsidRPr="00F1114E" w:rsidRDefault="00723960" w:rsidP="000B1658"/>
    <w:p w14:paraId="38CF7F50" w14:textId="5C44A2EB" w:rsidR="00723960" w:rsidRPr="00F1114E" w:rsidRDefault="00723960" w:rsidP="00723960">
      <w:r w:rsidRPr="00F1114E">
        <w:t>Change detection likelihood ratings also continued to significantly predict change blindness duration when the Wolfe2 stimulus set was removed,</w:t>
      </w:r>
      <w:r w:rsidR="000B1658" w:rsidRPr="00F1114E">
        <w:t xml:space="preserve"> </w:t>
      </w:r>
      <w:r w:rsidR="000B1658" w:rsidRPr="00F1114E">
        <w:rPr>
          <w:i/>
          <w:iCs/>
        </w:rPr>
        <w:t>β</w:t>
      </w:r>
      <w:r w:rsidR="000B1658" w:rsidRPr="00F1114E">
        <w:t xml:space="preserve"> = -0.14, </w:t>
      </w:r>
      <w:r w:rsidR="000B1658" w:rsidRPr="00F1114E">
        <w:rPr>
          <w:i/>
          <w:iCs/>
        </w:rPr>
        <w:t>p</w:t>
      </w:r>
      <w:r w:rsidR="000B1658" w:rsidRPr="00F1114E">
        <w:t xml:space="preserve"> = .002, 95% CI = [-0.22, -0.05]. </w:t>
      </w:r>
      <w:r w:rsidRPr="00F1114E">
        <w:t>(Note: each dot represents a single image).</w:t>
      </w:r>
    </w:p>
    <w:p w14:paraId="314D7195" w14:textId="502AF088" w:rsidR="00723960" w:rsidRPr="00F1114E" w:rsidRDefault="00723960" w:rsidP="00723960"/>
    <w:p w14:paraId="1A5A761D" w14:textId="468CF1AF" w:rsidR="00723960" w:rsidRPr="00F1114E" w:rsidRDefault="00723960" w:rsidP="00390186">
      <w:pPr>
        <w:jc w:val="center"/>
      </w:pPr>
      <w:r w:rsidRPr="00F1114E">
        <w:rPr>
          <w:noProof/>
        </w:rPr>
        <w:drawing>
          <wp:inline distT="0" distB="0" distL="0" distR="0" wp14:anchorId="2820ACA1" wp14:editId="6CE78938">
            <wp:extent cx="4114800" cy="2540978"/>
            <wp:effectExtent l="0" t="0" r="0" b="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4800" cy="2540978"/>
                    </a:xfrm>
                    <a:prstGeom prst="rect">
                      <a:avLst/>
                    </a:prstGeom>
                  </pic:spPr>
                </pic:pic>
              </a:graphicData>
            </a:graphic>
          </wp:inline>
        </w:drawing>
      </w:r>
    </w:p>
    <w:p w14:paraId="7CE33E7B" w14:textId="77777777" w:rsidR="00723960" w:rsidRPr="00F1114E" w:rsidRDefault="00723960" w:rsidP="00723960"/>
    <w:p w14:paraId="06EA9719" w14:textId="5D410A4A" w:rsidR="000B1658" w:rsidRPr="00F1114E" w:rsidRDefault="000B1658" w:rsidP="00723960">
      <w:r w:rsidRPr="00F1114E">
        <w:lastRenderedPageBreak/>
        <w:t xml:space="preserve">However, when both Wolfe1 and Wolfe2 stimulus sets were removed, change detection likelihood ratings did not significantly predict change blindness duration, </w:t>
      </w:r>
      <w:r w:rsidRPr="00F1114E">
        <w:rPr>
          <w:i/>
          <w:iCs/>
        </w:rPr>
        <w:t>β</w:t>
      </w:r>
      <w:r w:rsidRPr="00F1114E">
        <w:t xml:space="preserve"> = -0.06, </w:t>
      </w:r>
      <w:r w:rsidRPr="00F1114E">
        <w:rPr>
          <w:i/>
          <w:iCs/>
        </w:rPr>
        <w:t>p</w:t>
      </w:r>
      <w:r w:rsidRPr="00F1114E">
        <w:t xml:space="preserve"> = .301, 95% CI = [-0.17, 0.05]. </w:t>
      </w:r>
      <w:r w:rsidR="00723960" w:rsidRPr="00F1114E">
        <w:t>(Note: each dot represents a single image).</w:t>
      </w:r>
    </w:p>
    <w:p w14:paraId="2334B14B" w14:textId="3782601D" w:rsidR="00723960" w:rsidRPr="00F1114E" w:rsidRDefault="00723960" w:rsidP="00723960"/>
    <w:p w14:paraId="1FAE1885" w14:textId="1A3F2082" w:rsidR="00723960" w:rsidRPr="00F1114E" w:rsidRDefault="00723960" w:rsidP="00723960">
      <w:pPr>
        <w:jc w:val="center"/>
      </w:pPr>
      <w:r w:rsidRPr="00F1114E">
        <w:rPr>
          <w:noProof/>
        </w:rPr>
        <w:drawing>
          <wp:inline distT="0" distB="0" distL="0" distR="0" wp14:anchorId="0349501A" wp14:editId="26D50FC5">
            <wp:extent cx="4114800" cy="2540978"/>
            <wp:effectExtent l="0" t="0" r="0" b="0"/>
            <wp:docPr id="14" name="Picture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4800" cy="2540978"/>
                    </a:xfrm>
                    <a:prstGeom prst="rect">
                      <a:avLst/>
                    </a:prstGeom>
                  </pic:spPr>
                </pic:pic>
              </a:graphicData>
            </a:graphic>
          </wp:inline>
        </w:drawing>
      </w:r>
    </w:p>
    <w:p w14:paraId="02CEE27D" w14:textId="55D37EEB" w:rsidR="00C217A4" w:rsidRPr="00F1114E" w:rsidRDefault="00C217A4" w:rsidP="00723960">
      <w:pPr>
        <w:jc w:val="center"/>
      </w:pPr>
    </w:p>
    <w:p w14:paraId="691D6FA4" w14:textId="4BC9C3F0" w:rsidR="00C217A4" w:rsidRPr="00F1114E" w:rsidRDefault="00C217A4" w:rsidP="00C217A4">
      <w:r w:rsidRPr="00F1114E">
        <w:t xml:space="preserve">Based on these results, the Wolfe1 and Wolfe2 stimulus sets appear to be important for the relationship between likelihood ratings and change blindness duration. We acknowledge this could be due to the variance within these sets, but we also want to point out that when we remove Wolfe1 AND Wolfe2 from the analysis, we have reduced our data by more than 75% (482 images to 117 images), which could also lead to this non-significant relationship. </w:t>
      </w:r>
    </w:p>
    <w:p w14:paraId="2DB8EF57" w14:textId="3FACDD62" w:rsidR="00C217A4" w:rsidRPr="00F1114E" w:rsidRDefault="00C217A4" w:rsidP="00723960">
      <w:pPr>
        <w:jc w:val="center"/>
      </w:pPr>
    </w:p>
    <w:p w14:paraId="65B5DD61" w14:textId="77777777" w:rsidR="004C7387" w:rsidRPr="00F1114E" w:rsidRDefault="004C7387" w:rsidP="00723960">
      <w:pPr>
        <w:jc w:val="center"/>
      </w:pPr>
    </w:p>
    <w:p w14:paraId="65246112" w14:textId="23E49E3D" w:rsidR="004C7387" w:rsidRPr="00F1114E" w:rsidRDefault="004C7387" w:rsidP="004C7387">
      <w:pPr>
        <w:rPr>
          <w:b/>
          <w:bCs/>
          <w:u w:val="single"/>
        </w:rPr>
      </w:pPr>
      <w:r w:rsidRPr="00F1114E">
        <w:rPr>
          <w:b/>
          <w:bCs/>
          <w:u w:val="single"/>
        </w:rPr>
        <w:t>Trials with unusually long detection times</w:t>
      </w:r>
    </w:p>
    <w:p w14:paraId="14974894" w14:textId="0AC81502" w:rsidR="004C7387" w:rsidRPr="00F1114E" w:rsidRDefault="004C7387" w:rsidP="004C7387">
      <w:pPr>
        <w:rPr>
          <w:b/>
          <w:bCs/>
          <w:u w:val="single"/>
        </w:rPr>
      </w:pPr>
    </w:p>
    <w:p w14:paraId="0CD01E6C" w14:textId="7ECA5252" w:rsidR="004C7387" w:rsidRPr="00F1114E" w:rsidRDefault="004C7387" w:rsidP="004C7387">
      <w:r w:rsidRPr="00F1114E">
        <w:t xml:space="preserve">To explore how trials with unusually long detection times contributed to our results, we excluded trials exceeding 15 seconds. This resulted in 593 trials excluded, or approximately 12% of total trials. Change detection likelihood ratings continued to significantly predict change blindness duration when trials with unusually long detection times (greater than 15 seconds) were excluded, </w:t>
      </w:r>
      <w:r w:rsidRPr="00F1114E">
        <w:rPr>
          <w:i/>
          <w:iCs/>
        </w:rPr>
        <w:t>β</w:t>
      </w:r>
      <w:r w:rsidRPr="00F1114E">
        <w:t xml:space="preserve"> = -0.15, </w:t>
      </w:r>
      <w:r w:rsidRPr="00F1114E">
        <w:rPr>
          <w:i/>
          <w:iCs/>
        </w:rPr>
        <w:t>p</w:t>
      </w:r>
      <w:r w:rsidRPr="00F1114E">
        <w:t xml:space="preserve"> &lt; .001, 95% CI = [-0.21, -0.08]. </w:t>
      </w:r>
    </w:p>
    <w:p w14:paraId="38DAACE4" w14:textId="77777777" w:rsidR="004C7387" w:rsidRPr="00F1114E" w:rsidRDefault="004C7387" w:rsidP="004C7387">
      <w:pPr>
        <w:rPr>
          <w:b/>
          <w:bCs/>
          <w:u w:val="single"/>
        </w:rPr>
      </w:pPr>
    </w:p>
    <w:p w14:paraId="6F23FAE5" w14:textId="2C9E318D" w:rsidR="00696213" w:rsidRPr="00F1114E" w:rsidRDefault="004C7387" w:rsidP="004C7387">
      <w:pPr>
        <w:jc w:val="center"/>
      </w:pPr>
      <w:r w:rsidRPr="00F1114E">
        <w:rPr>
          <w:noProof/>
        </w:rPr>
        <w:lastRenderedPageBreak/>
        <w:drawing>
          <wp:inline distT="0" distB="0" distL="0" distR="0" wp14:anchorId="2461D6BD" wp14:editId="2EB16D06">
            <wp:extent cx="4114800" cy="2540978"/>
            <wp:effectExtent l="0" t="0" r="0" b="0"/>
            <wp:docPr id="15" name="Picture 1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4800" cy="2540978"/>
                    </a:xfrm>
                    <a:prstGeom prst="rect">
                      <a:avLst/>
                    </a:prstGeom>
                  </pic:spPr>
                </pic:pic>
              </a:graphicData>
            </a:graphic>
          </wp:inline>
        </w:drawing>
      </w:r>
    </w:p>
    <w:p w14:paraId="4BDFACA3" w14:textId="5EEECED1" w:rsidR="004C7387" w:rsidRPr="00F1114E" w:rsidRDefault="004C7387" w:rsidP="004C7387">
      <w:pPr>
        <w:jc w:val="center"/>
      </w:pPr>
    </w:p>
    <w:p w14:paraId="1F576C5B" w14:textId="17B6995B" w:rsidR="004C7387" w:rsidRPr="00F1114E" w:rsidRDefault="004C7387" w:rsidP="004C7387">
      <w:r w:rsidRPr="00F1114E">
        <w:t xml:space="preserve">We also extended this analysis by having a more conservative definition of “unusually long”: when the cut-off was set to 8 seconds (excluding 2692 trials, or approximately 54% of total trials), change detection likelihood ratings continued to significantly predict change blindness duration, </w:t>
      </w:r>
      <w:r w:rsidRPr="00F1114E">
        <w:rPr>
          <w:i/>
          <w:iCs/>
        </w:rPr>
        <w:t>β</w:t>
      </w:r>
      <w:r w:rsidRPr="00F1114E">
        <w:t xml:space="preserve"> = -0.07, </w:t>
      </w:r>
      <w:r w:rsidRPr="00F1114E">
        <w:rPr>
          <w:i/>
          <w:iCs/>
        </w:rPr>
        <w:t>p</w:t>
      </w:r>
      <w:r w:rsidRPr="00F1114E">
        <w:t xml:space="preserve"> = .025, 95% CI = [-0.13, -0.01]. </w:t>
      </w:r>
    </w:p>
    <w:p w14:paraId="0A810D75" w14:textId="532602E9" w:rsidR="004C7387" w:rsidRPr="00F1114E" w:rsidRDefault="004C7387" w:rsidP="004C7387">
      <w:pPr>
        <w:jc w:val="center"/>
      </w:pPr>
    </w:p>
    <w:p w14:paraId="744A9017" w14:textId="6B86AE53" w:rsidR="004C7387" w:rsidRPr="00F1114E" w:rsidRDefault="004C7387" w:rsidP="004C7387">
      <w:pPr>
        <w:jc w:val="center"/>
      </w:pPr>
    </w:p>
    <w:p w14:paraId="28DA9C9E" w14:textId="0C57BB02" w:rsidR="004C7387" w:rsidRPr="00F1114E" w:rsidRDefault="004C7387" w:rsidP="004C7387">
      <w:pPr>
        <w:rPr>
          <w:b/>
          <w:bCs/>
          <w:u w:val="single"/>
        </w:rPr>
      </w:pPr>
      <w:r w:rsidRPr="00F1114E">
        <w:rPr>
          <w:b/>
          <w:bCs/>
          <w:u w:val="single"/>
        </w:rPr>
        <w:t>Split-half reliability</w:t>
      </w:r>
    </w:p>
    <w:p w14:paraId="68928277" w14:textId="00A41040" w:rsidR="00FF0521" w:rsidRPr="00F1114E" w:rsidRDefault="00FF0521" w:rsidP="00FF0521">
      <w:pPr>
        <w:rPr>
          <w:u w:val="single"/>
        </w:rPr>
      </w:pPr>
    </w:p>
    <w:p w14:paraId="0372F68D" w14:textId="520474EB" w:rsidR="00652B76" w:rsidRPr="00F1114E" w:rsidRDefault="00390186" w:rsidP="00652B76">
      <w:r w:rsidRPr="00F1114E">
        <w:t>We performed a split-half reliability analysis to assess how measurement error sets an upper limit on the predictiveness of metacognition. W</w:t>
      </w:r>
      <w:r w:rsidR="00652B76" w:rsidRPr="00F1114E">
        <w:t xml:space="preserve">e randomly split each participant’s data in half (by first shuffling trial order and then dividing the trials into halves). Since this split was random, we did it 10 times to eliminate any ordering effects within participants. We then calculated the correlation between change blindness duration and likelihood ratings and computed an average correlation for each half for each participant. The correlation between each half was significant, </w:t>
      </w:r>
      <w:proofErr w:type="gramStart"/>
      <w:r w:rsidR="00652B76" w:rsidRPr="00F1114E">
        <w:rPr>
          <w:i/>
          <w:iCs/>
        </w:rPr>
        <w:t>r</w:t>
      </w:r>
      <w:r w:rsidR="00652B76" w:rsidRPr="00F1114E">
        <w:t>(</w:t>
      </w:r>
      <w:proofErr w:type="gramEnd"/>
      <w:r w:rsidR="00652B76" w:rsidRPr="00F1114E">
        <w:t xml:space="preserve">203) = 0.85, </w:t>
      </w:r>
      <w:r w:rsidR="00652B76" w:rsidRPr="00F1114E">
        <w:rPr>
          <w:i/>
          <w:iCs/>
        </w:rPr>
        <w:t>p</w:t>
      </w:r>
      <w:r w:rsidR="00652B76" w:rsidRPr="00F1114E">
        <w:t xml:space="preserve"> &lt; .001, suggesting that all images contribute equally to the predictiveness of likelihood ratings on change blindness duration. </w:t>
      </w:r>
    </w:p>
    <w:p w14:paraId="311008AB" w14:textId="0EE66B17" w:rsidR="00652B76" w:rsidRPr="00F1114E" w:rsidRDefault="00652B76" w:rsidP="00390186">
      <w:pPr>
        <w:rPr>
          <w:u w:val="single"/>
        </w:rPr>
      </w:pPr>
    </w:p>
    <w:p w14:paraId="0D41FE5E" w14:textId="39262EBA" w:rsidR="00EF1610" w:rsidRPr="00F1114E" w:rsidRDefault="00EF1610" w:rsidP="00EF1610">
      <w:pPr>
        <w:rPr>
          <w:b/>
          <w:bCs/>
          <w:u w:val="single"/>
        </w:rPr>
      </w:pPr>
      <w:r w:rsidRPr="00F1114E">
        <w:rPr>
          <w:b/>
          <w:bCs/>
          <w:u w:val="single"/>
        </w:rPr>
        <w:t>Remembering easy and hard changes</w:t>
      </w:r>
    </w:p>
    <w:p w14:paraId="37C802BD" w14:textId="77777777" w:rsidR="00EF1610" w:rsidRPr="00F1114E" w:rsidRDefault="00EF1610" w:rsidP="00EF1610">
      <w:pPr>
        <w:rPr>
          <w:u w:val="single"/>
        </w:rPr>
      </w:pPr>
    </w:p>
    <w:p w14:paraId="526C7114" w14:textId="70E5393A" w:rsidR="00EF1610" w:rsidRPr="00F1114E" w:rsidRDefault="00EF1610" w:rsidP="00EF1610">
      <w:pPr>
        <w:pStyle w:val="NormalWeb"/>
        <w:spacing w:before="0" w:beforeAutospacing="0" w:after="0" w:afterAutospacing="0"/>
      </w:pPr>
      <w:r w:rsidRPr="00F1114E">
        <w:t>To determine whether the easy/hard follow-up analysis in Experiment 1 (Section 2.2) was dependent on selecting the middle 12 images, we ran the same easy/hard analysis on the middle 10, 8, 6, and 4 trials, as well as the corresponding extreme 14, 16, 18, and 20 trials, respectively. The results of each model are below.</w:t>
      </w:r>
    </w:p>
    <w:p w14:paraId="142B301E" w14:textId="77777777" w:rsidR="00EF1610" w:rsidRPr="00F1114E" w:rsidRDefault="00EF1610" w:rsidP="00EF1610">
      <w:pPr>
        <w:pStyle w:val="NormalWeb"/>
        <w:spacing w:before="0" w:beforeAutospacing="0" w:after="0" w:afterAutospacing="0"/>
        <w:textAlignment w:val="baseline"/>
      </w:pPr>
    </w:p>
    <w:p w14:paraId="58A842D4" w14:textId="514A38AE" w:rsidR="00EF1610" w:rsidRPr="00F1114E" w:rsidRDefault="00EF1610" w:rsidP="00EF1610">
      <w:pPr>
        <w:pStyle w:val="NormalWeb"/>
        <w:numPr>
          <w:ilvl w:val="0"/>
          <w:numId w:val="18"/>
        </w:numPr>
        <w:spacing w:before="0" w:beforeAutospacing="0" w:after="0" w:afterAutospacing="0"/>
        <w:textAlignment w:val="baseline"/>
      </w:pPr>
      <w:r w:rsidRPr="00F1114E">
        <w:t xml:space="preserve">Middle </w:t>
      </w:r>
      <w:r w:rsidRPr="00F1114E">
        <w:rPr>
          <w:b/>
          <w:bCs/>
          <w:u w:val="single"/>
        </w:rPr>
        <w:t>10</w:t>
      </w:r>
      <w:r w:rsidRPr="00F1114E">
        <w:t xml:space="preserve"> trials: </w:t>
      </w:r>
      <w:r w:rsidRPr="00F1114E">
        <w:rPr>
          <w:rStyle w:val="apple-tab-span"/>
        </w:rPr>
        <w:tab/>
      </w:r>
      <w:r w:rsidRPr="00F1114E">
        <w:rPr>
          <w:i/>
          <w:iCs/>
          <w:shd w:val="clear" w:color="auto" w:fill="FFFFFF"/>
        </w:rPr>
        <w:t>β</w:t>
      </w:r>
      <w:r w:rsidRPr="00F1114E">
        <w:rPr>
          <w:shd w:val="clear" w:color="auto" w:fill="FFFFFF"/>
        </w:rPr>
        <w:t xml:space="preserve"> = -0.09, </w:t>
      </w:r>
      <w:r w:rsidRPr="00F1114E">
        <w:rPr>
          <w:i/>
          <w:iCs/>
          <w:shd w:val="clear" w:color="auto" w:fill="FFFFFF"/>
        </w:rPr>
        <w:t>p</w:t>
      </w:r>
      <w:r w:rsidRPr="00F1114E">
        <w:rPr>
          <w:shd w:val="clear" w:color="auto" w:fill="FFFFFF"/>
        </w:rPr>
        <w:t xml:space="preserve"> &lt; .05, 95% CI = [-0.15, -0.02</w:t>
      </w:r>
      <w:proofErr w:type="gramStart"/>
      <w:r w:rsidRPr="00F1114E">
        <w:rPr>
          <w:shd w:val="clear" w:color="auto" w:fill="FFFFFF"/>
        </w:rPr>
        <w:t>];</w:t>
      </w:r>
      <w:proofErr w:type="gramEnd"/>
      <w:r w:rsidRPr="00F1114E">
        <w:rPr>
          <w:shd w:val="clear" w:color="auto" w:fill="FFFFFF"/>
        </w:rPr>
        <w:t> </w:t>
      </w:r>
    </w:p>
    <w:p w14:paraId="18F24EAA" w14:textId="4A772A8D" w:rsidR="00EF1610" w:rsidRPr="00F1114E" w:rsidRDefault="00EF1610" w:rsidP="00EF1610">
      <w:pPr>
        <w:pStyle w:val="NormalWeb"/>
        <w:spacing w:before="0" w:beforeAutospacing="0" w:after="0" w:afterAutospacing="0"/>
        <w:ind w:firstLine="720"/>
        <w:textAlignment w:val="baseline"/>
      </w:pPr>
      <w:r w:rsidRPr="00F1114E">
        <w:rPr>
          <w:shd w:val="clear" w:color="auto" w:fill="FFFFFF"/>
        </w:rPr>
        <w:t xml:space="preserve">Extreme 14 trials: </w:t>
      </w:r>
      <w:r w:rsidRPr="00F1114E">
        <w:rPr>
          <w:rStyle w:val="apple-tab-span"/>
          <w:shd w:val="clear" w:color="auto" w:fill="FFFFFF"/>
        </w:rPr>
        <w:tab/>
      </w:r>
      <w:r w:rsidRPr="00F1114E">
        <w:rPr>
          <w:i/>
          <w:iCs/>
          <w:shd w:val="clear" w:color="auto" w:fill="FFFFFF"/>
        </w:rPr>
        <w:t>β</w:t>
      </w:r>
      <w:r w:rsidRPr="00F1114E">
        <w:rPr>
          <w:shd w:val="clear" w:color="auto" w:fill="FFFFFF"/>
        </w:rPr>
        <w:t xml:space="preserve"> = -0.27, </w:t>
      </w:r>
      <w:r w:rsidRPr="00F1114E">
        <w:rPr>
          <w:i/>
          <w:iCs/>
          <w:shd w:val="clear" w:color="auto" w:fill="FFFFFF"/>
        </w:rPr>
        <w:t>p</w:t>
      </w:r>
      <w:r w:rsidRPr="00F1114E">
        <w:rPr>
          <w:shd w:val="clear" w:color="auto" w:fill="FFFFFF"/>
        </w:rPr>
        <w:t xml:space="preserve"> &lt; .001, 95% CI = [-0.36, -0.17]</w:t>
      </w:r>
    </w:p>
    <w:p w14:paraId="22C09CA3" w14:textId="2F219DD9" w:rsidR="00EF1610" w:rsidRPr="00F1114E" w:rsidRDefault="00EF1610" w:rsidP="00EF1610"/>
    <w:p w14:paraId="5245DAA0" w14:textId="180262F1" w:rsidR="00EF1610" w:rsidRPr="00F1114E" w:rsidRDefault="00EF1610" w:rsidP="00EF1610">
      <w:pPr>
        <w:pStyle w:val="NormalWeb"/>
        <w:numPr>
          <w:ilvl w:val="0"/>
          <w:numId w:val="18"/>
        </w:numPr>
        <w:spacing w:before="0" w:beforeAutospacing="0" w:after="0" w:afterAutospacing="0"/>
        <w:textAlignment w:val="baseline"/>
      </w:pPr>
      <w:r w:rsidRPr="00F1114E">
        <w:rPr>
          <w:shd w:val="clear" w:color="auto" w:fill="FFFFFF"/>
        </w:rPr>
        <w:t xml:space="preserve">Middle </w:t>
      </w:r>
      <w:r w:rsidRPr="00F1114E">
        <w:rPr>
          <w:b/>
          <w:bCs/>
          <w:u w:val="single"/>
          <w:shd w:val="clear" w:color="auto" w:fill="FFFFFF"/>
        </w:rPr>
        <w:t>8</w:t>
      </w:r>
      <w:r w:rsidRPr="00F1114E">
        <w:rPr>
          <w:shd w:val="clear" w:color="auto" w:fill="FFFFFF"/>
        </w:rPr>
        <w:t xml:space="preserve"> trials: </w:t>
      </w:r>
      <w:r w:rsidRPr="00F1114E">
        <w:rPr>
          <w:rStyle w:val="apple-tab-span"/>
          <w:shd w:val="clear" w:color="auto" w:fill="FFFFFF"/>
        </w:rPr>
        <w:tab/>
      </w:r>
      <w:r w:rsidRPr="00F1114E">
        <w:rPr>
          <w:i/>
          <w:iCs/>
          <w:shd w:val="clear" w:color="auto" w:fill="FFFFFF"/>
        </w:rPr>
        <w:t>β</w:t>
      </w:r>
      <w:r w:rsidRPr="00F1114E">
        <w:rPr>
          <w:shd w:val="clear" w:color="auto" w:fill="FFFFFF"/>
        </w:rPr>
        <w:t xml:space="preserve"> = -0.07, </w:t>
      </w:r>
      <w:r w:rsidRPr="00F1114E">
        <w:rPr>
          <w:i/>
          <w:iCs/>
          <w:shd w:val="clear" w:color="auto" w:fill="FFFFFF"/>
        </w:rPr>
        <w:t>p</w:t>
      </w:r>
      <w:r w:rsidRPr="00F1114E">
        <w:rPr>
          <w:shd w:val="clear" w:color="auto" w:fill="FFFFFF"/>
        </w:rPr>
        <w:t xml:space="preserve"> &lt; .05, 95% CI = [-0.14, -0.008</w:t>
      </w:r>
      <w:proofErr w:type="gramStart"/>
      <w:r w:rsidRPr="00F1114E">
        <w:rPr>
          <w:shd w:val="clear" w:color="auto" w:fill="FFFFFF"/>
        </w:rPr>
        <w:t>];</w:t>
      </w:r>
      <w:proofErr w:type="gramEnd"/>
      <w:r w:rsidRPr="00F1114E">
        <w:rPr>
          <w:shd w:val="clear" w:color="auto" w:fill="FFFFFF"/>
        </w:rPr>
        <w:t> </w:t>
      </w:r>
    </w:p>
    <w:p w14:paraId="5CE11BEB" w14:textId="77777777" w:rsidR="00EF1610" w:rsidRPr="00F1114E" w:rsidRDefault="00EF1610" w:rsidP="00EF1610">
      <w:pPr>
        <w:pStyle w:val="NormalWeb"/>
        <w:spacing w:before="0" w:beforeAutospacing="0" w:after="0" w:afterAutospacing="0"/>
        <w:ind w:firstLine="720"/>
      </w:pPr>
      <w:r w:rsidRPr="00F1114E">
        <w:rPr>
          <w:shd w:val="clear" w:color="auto" w:fill="FFFFFF"/>
        </w:rPr>
        <w:t xml:space="preserve">Extreme 16 trials: </w:t>
      </w:r>
      <w:r w:rsidRPr="00F1114E">
        <w:t> </w:t>
      </w:r>
      <w:r w:rsidRPr="00F1114E">
        <w:rPr>
          <w:rStyle w:val="apple-tab-span"/>
        </w:rPr>
        <w:tab/>
      </w:r>
      <w:r w:rsidRPr="00F1114E">
        <w:rPr>
          <w:i/>
          <w:iCs/>
          <w:shd w:val="clear" w:color="auto" w:fill="FFFFFF"/>
        </w:rPr>
        <w:t>β</w:t>
      </w:r>
      <w:r w:rsidRPr="00F1114E">
        <w:rPr>
          <w:shd w:val="clear" w:color="auto" w:fill="FFFFFF"/>
        </w:rPr>
        <w:t xml:space="preserve"> = -0.25, </w:t>
      </w:r>
      <w:r w:rsidRPr="00F1114E">
        <w:rPr>
          <w:i/>
          <w:iCs/>
          <w:shd w:val="clear" w:color="auto" w:fill="FFFFFF"/>
        </w:rPr>
        <w:t>p</w:t>
      </w:r>
      <w:r w:rsidRPr="00F1114E">
        <w:rPr>
          <w:shd w:val="clear" w:color="auto" w:fill="FFFFFF"/>
        </w:rPr>
        <w:t xml:space="preserve"> &lt; .001, 95% CI = [-0.34, -0.15]</w:t>
      </w:r>
    </w:p>
    <w:p w14:paraId="4378A4CD" w14:textId="77777777" w:rsidR="00EF1610" w:rsidRPr="00F1114E" w:rsidRDefault="00EF1610" w:rsidP="00EF1610"/>
    <w:p w14:paraId="60C9C8C5" w14:textId="1D533EC9" w:rsidR="00EF1610" w:rsidRPr="00F1114E" w:rsidRDefault="00EF1610" w:rsidP="00EF1610">
      <w:pPr>
        <w:pStyle w:val="ListParagraph"/>
        <w:numPr>
          <w:ilvl w:val="0"/>
          <w:numId w:val="18"/>
        </w:numPr>
      </w:pPr>
      <w:r w:rsidRPr="00F1114E">
        <w:rPr>
          <w:shd w:val="clear" w:color="auto" w:fill="FFFFFF"/>
        </w:rPr>
        <w:t xml:space="preserve">Middle </w:t>
      </w:r>
      <w:r w:rsidRPr="00F1114E">
        <w:rPr>
          <w:b/>
          <w:bCs/>
          <w:u w:val="single"/>
          <w:shd w:val="clear" w:color="auto" w:fill="FFFFFF"/>
        </w:rPr>
        <w:t>6</w:t>
      </w:r>
      <w:r w:rsidRPr="00F1114E">
        <w:rPr>
          <w:shd w:val="clear" w:color="auto" w:fill="FFFFFF"/>
        </w:rPr>
        <w:t xml:space="preserve"> trials: </w:t>
      </w:r>
      <w:r w:rsidRPr="00F1114E">
        <w:rPr>
          <w:rStyle w:val="apple-tab-span"/>
          <w:shd w:val="clear" w:color="auto" w:fill="FFFFFF"/>
        </w:rPr>
        <w:tab/>
      </w:r>
      <w:r w:rsidRPr="00F1114E">
        <w:rPr>
          <w:i/>
          <w:iCs/>
          <w:shd w:val="clear" w:color="auto" w:fill="FFFFFF"/>
        </w:rPr>
        <w:t>β</w:t>
      </w:r>
      <w:r w:rsidRPr="00F1114E">
        <w:rPr>
          <w:shd w:val="clear" w:color="auto" w:fill="FFFFFF"/>
        </w:rPr>
        <w:t xml:space="preserve"> = -0.08, </w:t>
      </w:r>
      <w:r w:rsidRPr="00F1114E">
        <w:rPr>
          <w:i/>
          <w:iCs/>
          <w:shd w:val="clear" w:color="auto" w:fill="FFFFFF"/>
        </w:rPr>
        <w:t>p</w:t>
      </w:r>
      <w:r w:rsidRPr="00F1114E">
        <w:rPr>
          <w:shd w:val="clear" w:color="auto" w:fill="FFFFFF"/>
        </w:rPr>
        <w:t xml:space="preserve"> &lt; .05, 95% CI = [-0.15, -0.01</w:t>
      </w:r>
      <w:proofErr w:type="gramStart"/>
      <w:r w:rsidRPr="00F1114E">
        <w:rPr>
          <w:shd w:val="clear" w:color="auto" w:fill="FFFFFF"/>
        </w:rPr>
        <w:t>];</w:t>
      </w:r>
      <w:proofErr w:type="gramEnd"/>
      <w:r w:rsidRPr="00F1114E">
        <w:rPr>
          <w:shd w:val="clear" w:color="auto" w:fill="FFFFFF"/>
        </w:rPr>
        <w:t> </w:t>
      </w:r>
    </w:p>
    <w:p w14:paraId="38281CD6" w14:textId="77777777" w:rsidR="00EF1610" w:rsidRPr="00F1114E" w:rsidRDefault="00EF1610" w:rsidP="00EF1610">
      <w:pPr>
        <w:pStyle w:val="NormalWeb"/>
        <w:spacing w:before="0" w:beforeAutospacing="0" w:after="0" w:afterAutospacing="0"/>
        <w:ind w:firstLine="720"/>
      </w:pPr>
      <w:r w:rsidRPr="00F1114E">
        <w:rPr>
          <w:shd w:val="clear" w:color="auto" w:fill="FFFFFF"/>
        </w:rPr>
        <w:lastRenderedPageBreak/>
        <w:t>Extreme 18 trials:</w:t>
      </w:r>
      <w:proofErr w:type="gramStart"/>
      <w:r w:rsidRPr="00F1114E">
        <w:rPr>
          <w:rStyle w:val="apple-tab-span"/>
          <w:shd w:val="clear" w:color="auto" w:fill="FFFFFF"/>
        </w:rPr>
        <w:tab/>
      </w:r>
      <w:r w:rsidRPr="00F1114E">
        <w:rPr>
          <w:shd w:val="clear" w:color="auto" w:fill="FFFFFF"/>
        </w:rPr>
        <w:t xml:space="preserve"> </w:t>
      </w:r>
      <w:r w:rsidRPr="00F1114E">
        <w:t> </w:t>
      </w:r>
      <w:r w:rsidRPr="00F1114E">
        <w:rPr>
          <w:i/>
          <w:iCs/>
          <w:shd w:val="clear" w:color="auto" w:fill="FFFFFF"/>
        </w:rPr>
        <w:t>β</w:t>
      </w:r>
      <w:proofErr w:type="gramEnd"/>
      <w:r w:rsidRPr="00F1114E">
        <w:rPr>
          <w:shd w:val="clear" w:color="auto" w:fill="FFFFFF"/>
        </w:rPr>
        <w:t xml:space="preserve"> = -0.25, </w:t>
      </w:r>
      <w:r w:rsidRPr="00F1114E">
        <w:rPr>
          <w:i/>
          <w:iCs/>
          <w:shd w:val="clear" w:color="auto" w:fill="FFFFFF"/>
        </w:rPr>
        <w:t>p</w:t>
      </w:r>
      <w:r w:rsidRPr="00F1114E">
        <w:rPr>
          <w:shd w:val="clear" w:color="auto" w:fill="FFFFFF"/>
        </w:rPr>
        <w:t xml:space="preserve"> &lt; .001, 95% CI = [-0.34, -0.16]</w:t>
      </w:r>
    </w:p>
    <w:p w14:paraId="55FBC86C" w14:textId="77777777" w:rsidR="00EF1610" w:rsidRPr="00F1114E" w:rsidRDefault="00EF1610" w:rsidP="00EF1610"/>
    <w:p w14:paraId="3BFC7243" w14:textId="38ED5FDD" w:rsidR="00EF1610" w:rsidRPr="00F1114E" w:rsidRDefault="00EF1610" w:rsidP="00EF1610">
      <w:pPr>
        <w:pStyle w:val="ListParagraph"/>
        <w:numPr>
          <w:ilvl w:val="0"/>
          <w:numId w:val="18"/>
        </w:numPr>
      </w:pPr>
      <w:r w:rsidRPr="00F1114E">
        <w:rPr>
          <w:shd w:val="clear" w:color="auto" w:fill="FFFFFF"/>
        </w:rPr>
        <w:t xml:space="preserve">Middle </w:t>
      </w:r>
      <w:r w:rsidRPr="00F1114E">
        <w:rPr>
          <w:b/>
          <w:bCs/>
          <w:u w:val="single"/>
          <w:shd w:val="clear" w:color="auto" w:fill="FFFFFF"/>
        </w:rPr>
        <w:t>4</w:t>
      </w:r>
      <w:r w:rsidRPr="00F1114E">
        <w:rPr>
          <w:shd w:val="clear" w:color="auto" w:fill="FFFFFF"/>
        </w:rPr>
        <w:t xml:space="preserve"> trials:</w:t>
      </w:r>
      <w:r w:rsidRPr="00F1114E">
        <w:rPr>
          <w:rStyle w:val="apple-tab-span"/>
          <w:shd w:val="clear" w:color="auto" w:fill="FFFFFF"/>
        </w:rPr>
        <w:tab/>
      </w:r>
      <w:r w:rsidRPr="00F1114E">
        <w:rPr>
          <w:shd w:val="clear" w:color="auto" w:fill="FFFFFF"/>
        </w:rPr>
        <w:t xml:space="preserve"> </w:t>
      </w:r>
      <w:r w:rsidRPr="00F1114E">
        <w:rPr>
          <w:i/>
          <w:iCs/>
          <w:shd w:val="clear" w:color="auto" w:fill="FFFFFF"/>
        </w:rPr>
        <w:t>β</w:t>
      </w:r>
      <w:r w:rsidRPr="00F1114E">
        <w:rPr>
          <w:shd w:val="clear" w:color="auto" w:fill="FFFFFF"/>
        </w:rPr>
        <w:t xml:space="preserve"> = -0.05, </w:t>
      </w:r>
      <w:r w:rsidRPr="00F1114E">
        <w:rPr>
          <w:i/>
          <w:iCs/>
          <w:shd w:val="clear" w:color="auto" w:fill="FFFFFF"/>
        </w:rPr>
        <w:t>p</w:t>
      </w:r>
      <w:r w:rsidRPr="00F1114E">
        <w:rPr>
          <w:shd w:val="clear" w:color="auto" w:fill="FFFFFF"/>
        </w:rPr>
        <w:t xml:space="preserve"> = .170, 95% CI = [-0.11, 0.02</w:t>
      </w:r>
      <w:proofErr w:type="gramStart"/>
      <w:r w:rsidRPr="00F1114E">
        <w:rPr>
          <w:shd w:val="clear" w:color="auto" w:fill="FFFFFF"/>
        </w:rPr>
        <w:t>];</w:t>
      </w:r>
      <w:proofErr w:type="gramEnd"/>
      <w:r w:rsidRPr="00F1114E">
        <w:rPr>
          <w:shd w:val="clear" w:color="auto" w:fill="FFFFFF"/>
        </w:rPr>
        <w:t> </w:t>
      </w:r>
    </w:p>
    <w:p w14:paraId="5EB83AB2" w14:textId="77777777" w:rsidR="00EF1610" w:rsidRPr="00F1114E" w:rsidRDefault="00EF1610" w:rsidP="00EF1610">
      <w:pPr>
        <w:pStyle w:val="NormalWeb"/>
        <w:spacing w:before="0" w:beforeAutospacing="0" w:after="0" w:afterAutospacing="0"/>
        <w:ind w:firstLine="720"/>
      </w:pPr>
      <w:r w:rsidRPr="00F1114E">
        <w:rPr>
          <w:shd w:val="clear" w:color="auto" w:fill="FFFFFF"/>
        </w:rPr>
        <w:t>Extreme 20 trials:</w:t>
      </w:r>
      <w:r w:rsidRPr="00F1114E">
        <w:rPr>
          <w:rStyle w:val="apple-tab-span"/>
          <w:shd w:val="clear" w:color="auto" w:fill="FFFFFF"/>
        </w:rPr>
        <w:tab/>
      </w:r>
      <w:r w:rsidRPr="00F1114E">
        <w:rPr>
          <w:shd w:val="clear" w:color="auto" w:fill="FFFFFF"/>
        </w:rPr>
        <w:t xml:space="preserve"> </w:t>
      </w:r>
      <w:r w:rsidRPr="00F1114E">
        <w:rPr>
          <w:i/>
          <w:iCs/>
          <w:shd w:val="clear" w:color="auto" w:fill="FFFFFF"/>
        </w:rPr>
        <w:t>β</w:t>
      </w:r>
      <w:r w:rsidRPr="00F1114E">
        <w:rPr>
          <w:shd w:val="clear" w:color="auto" w:fill="FFFFFF"/>
        </w:rPr>
        <w:t xml:space="preserve"> = -0.24, </w:t>
      </w:r>
      <w:r w:rsidRPr="00F1114E">
        <w:rPr>
          <w:i/>
          <w:iCs/>
          <w:shd w:val="clear" w:color="auto" w:fill="FFFFFF"/>
        </w:rPr>
        <w:t>p</w:t>
      </w:r>
      <w:r w:rsidRPr="00F1114E">
        <w:rPr>
          <w:shd w:val="clear" w:color="auto" w:fill="FFFFFF"/>
        </w:rPr>
        <w:t xml:space="preserve"> &lt; .001, 95% CI = [-0.33, -0.16]</w:t>
      </w:r>
    </w:p>
    <w:p w14:paraId="5CB0AE02" w14:textId="77777777" w:rsidR="00EF1610" w:rsidRPr="00F1114E" w:rsidRDefault="00EF1610" w:rsidP="00EF1610"/>
    <w:p w14:paraId="0110596C" w14:textId="77777777" w:rsidR="00EF1610" w:rsidRPr="00F1114E" w:rsidRDefault="00EF1610" w:rsidP="00EF1610">
      <w:pPr>
        <w:pStyle w:val="NormalWeb"/>
        <w:spacing w:before="0" w:beforeAutospacing="0" w:after="0" w:afterAutospacing="0"/>
      </w:pPr>
      <w:r w:rsidRPr="00F1114E">
        <w:rPr>
          <w:shd w:val="clear" w:color="auto" w:fill="FFFFFF"/>
        </w:rPr>
        <w:t>In general, these results suggest that the analysis is not dependent on the number of middle trials included in the model. However, when a small number of middle trials are analyzed (in this case, 4), the result becomes non-significant.</w:t>
      </w:r>
    </w:p>
    <w:p w14:paraId="6B433DC7" w14:textId="77777777" w:rsidR="00EF1610" w:rsidRPr="00F1114E" w:rsidRDefault="00EF1610" w:rsidP="00EF1610"/>
    <w:p w14:paraId="38A712EB" w14:textId="0DA5E851" w:rsidR="00EF1610" w:rsidRPr="00F1114E" w:rsidRDefault="00EF1610" w:rsidP="00390186">
      <w:pPr>
        <w:rPr>
          <w:u w:val="single"/>
        </w:rPr>
      </w:pPr>
    </w:p>
    <w:sectPr w:rsidR="00EF1610" w:rsidRPr="00F1114E" w:rsidSect="006202DD">
      <w:headerReference w:type="even" r:id="rId1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7961" w14:textId="77777777" w:rsidR="00A22B8F" w:rsidRDefault="00A22B8F" w:rsidP="00697A86">
      <w:r>
        <w:separator/>
      </w:r>
    </w:p>
  </w:endnote>
  <w:endnote w:type="continuationSeparator" w:id="0">
    <w:p w14:paraId="0CA50540" w14:textId="77777777" w:rsidR="00A22B8F" w:rsidRDefault="00A22B8F" w:rsidP="0069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513C" w14:textId="77777777" w:rsidR="00A22B8F" w:rsidRDefault="00A22B8F" w:rsidP="00697A86">
      <w:r>
        <w:separator/>
      </w:r>
    </w:p>
  </w:footnote>
  <w:footnote w:type="continuationSeparator" w:id="0">
    <w:p w14:paraId="0529E994" w14:textId="77777777" w:rsidR="00A22B8F" w:rsidRDefault="00A22B8F" w:rsidP="0069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3150474"/>
      <w:docPartObj>
        <w:docPartGallery w:val="Page Numbers (Top of Page)"/>
        <w:docPartUnique/>
      </w:docPartObj>
    </w:sdtPr>
    <w:sdtEndPr>
      <w:rPr>
        <w:rStyle w:val="PageNumber"/>
      </w:rPr>
    </w:sdtEndPr>
    <w:sdtContent>
      <w:p w14:paraId="242E438C" w14:textId="047D5433" w:rsidR="001302B7" w:rsidRDefault="001302B7" w:rsidP="00E17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CDF69" w14:textId="77777777" w:rsidR="001302B7" w:rsidRDefault="001302B7" w:rsidP="00697A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998554"/>
      <w:docPartObj>
        <w:docPartGallery w:val="Page Numbers (Top of Page)"/>
        <w:docPartUnique/>
      </w:docPartObj>
    </w:sdtPr>
    <w:sdtEndPr>
      <w:rPr>
        <w:rStyle w:val="PageNumber"/>
      </w:rPr>
    </w:sdtEndPr>
    <w:sdtContent>
      <w:p w14:paraId="67D38576" w14:textId="48F2BEF3" w:rsidR="001302B7" w:rsidRDefault="001302B7" w:rsidP="00E17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4F9E8C" w14:textId="7F40B283" w:rsidR="001302B7" w:rsidRDefault="001302B7" w:rsidP="00697A86">
    <w:pPr>
      <w:pStyle w:val="Header"/>
      <w:ind w:right="360"/>
    </w:pPr>
    <w:r>
      <w:t>META</w:t>
    </w:r>
    <w:r w:rsidR="006F5D05">
      <w:t>COGNITION</w:t>
    </w:r>
    <w:r>
      <w:t xml:space="preserve"> PREDICT CHANGE BLINDNESS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5315928"/>
      <w:docPartObj>
        <w:docPartGallery w:val="Page Numbers (Top of Page)"/>
        <w:docPartUnique/>
      </w:docPartObj>
    </w:sdtPr>
    <w:sdtEndPr>
      <w:rPr>
        <w:rStyle w:val="PageNumber"/>
      </w:rPr>
    </w:sdtEndPr>
    <w:sdtContent>
      <w:p w14:paraId="4A9C8AD4" w14:textId="34CF7976" w:rsidR="001302B7" w:rsidRDefault="001302B7" w:rsidP="00E171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2AA587" w14:textId="14F92247" w:rsidR="001302B7" w:rsidRDefault="001302B7" w:rsidP="00697A86">
    <w:pPr>
      <w:pStyle w:val="Header"/>
      <w:ind w:right="360"/>
    </w:pPr>
    <w:r>
      <w:t>Running head: METACOGNITION PREDICTS CHANGE BLINDNESS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39F"/>
    <w:multiLevelType w:val="multilevel"/>
    <w:tmpl w:val="68CE19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105D83"/>
    <w:multiLevelType w:val="multilevel"/>
    <w:tmpl w:val="4D2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F3AAF"/>
    <w:multiLevelType w:val="multilevel"/>
    <w:tmpl w:val="16980B06"/>
    <w:lvl w:ilvl="0">
      <w:start w:val="1"/>
      <w:numFmt w:val="decimal"/>
      <w:lvlText w:val="%1."/>
      <w:lvlJc w:val="left"/>
      <w:pPr>
        <w:ind w:left="360" w:hanging="360"/>
      </w:pPr>
      <w:rPr>
        <w:rFonts w:hint="default"/>
      </w:rPr>
    </w:lvl>
    <w:lvl w:ilvl="1">
      <w:start w:val="1"/>
      <w:numFmt w:val="decimal"/>
      <w:lvlText w:val="%1.%2."/>
      <w:lvlJc w:val="left"/>
      <w:pPr>
        <w:ind w:left="28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787874"/>
    <w:multiLevelType w:val="multilevel"/>
    <w:tmpl w:val="68CE19D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2E1E6B"/>
    <w:multiLevelType w:val="hybridMultilevel"/>
    <w:tmpl w:val="FFA2795A"/>
    <w:lvl w:ilvl="0" w:tplc="C068D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B6BC8"/>
    <w:multiLevelType w:val="multilevel"/>
    <w:tmpl w:val="34D086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7151433"/>
    <w:multiLevelType w:val="hybridMultilevel"/>
    <w:tmpl w:val="D73CC598"/>
    <w:lvl w:ilvl="0" w:tplc="3104C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15A67"/>
    <w:multiLevelType w:val="multilevel"/>
    <w:tmpl w:val="C526BA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40314F0"/>
    <w:multiLevelType w:val="hybridMultilevel"/>
    <w:tmpl w:val="04A6C970"/>
    <w:lvl w:ilvl="0" w:tplc="8B04A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90D92"/>
    <w:multiLevelType w:val="hybridMultilevel"/>
    <w:tmpl w:val="058C3400"/>
    <w:lvl w:ilvl="0" w:tplc="B5667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E6648"/>
    <w:multiLevelType w:val="multilevel"/>
    <w:tmpl w:val="66C293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556BD2"/>
    <w:multiLevelType w:val="multilevel"/>
    <w:tmpl w:val="66FE8F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BDE35C2"/>
    <w:multiLevelType w:val="multilevel"/>
    <w:tmpl w:val="1DCA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235CB"/>
    <w:multiLevelType w:val="multilevel"/>
    <w:tmpl w:val="B51EAF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F8363E6"/>
    <w:multiLevelType w:val="multilevel"/>
    <w:tmpl w:val="16980B06"/>
    <w:lvl w:ilvl="0">
      <w:start w:val="1"/>
      <w:numFmt w:val="decimal"/>
      <w:lvlText w:val="%1."/>
      <w:lvlJc w:val="left"/>
      <w:pPr>
        <w:ind w:left="360" w:hanging="360"/>
      </w:pPr>
      <w:rPr>
        <w:rFonts w:hint="default"/>
      </w:rPr>
    </w:lvl>
    <w:lvl w:ilvl="1">
      <w:start w:val="1"/>
      <w:numFmt w:val="decimal"/>
      <w:lvlText w:val="%1.%2."/>
      <w:lvlJc w:val="left"/>
      <w:pPr>
        <w:ind w:left="28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CA3A1A"/>
    <w:multiLevelType w:val="multilevel"/>
    <w:tmpl w:val="8580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E1FC3"/>
    <w:multiLevelType w:val="hybridMultilevel"/>
    <w:tmpl w:val="AD4CBBF4"/>
    <w:lvl w:ilvl="0" w:tplc="85963390">
      <w:start w:val="1"/>
      <w:numFmt w:val="none"/>
      <w:lvlText w:val="2.1.4"/>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CF07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EB5A7B"/>
    <w:multiLevelType w:val="multilevel"/>
    <w:tmpl w:val="1E6687AA"/>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282824">
    <w:abstractNumId w:val="12"/>
  </w:num>
  <w:num w:numId="2" w16cid:durableId="655110390">
    <w:abstractNumId w:val="1"/>
  </w:num>
  <w:num w:numId="3" w16cid:durableId="663774788">
    <w:abstractNumId w:val="6"/>
  </w:num>
  <w:num w:numId="4" w16cid:durableId="157500528">
    <w:abstractNumId w:val="9"/>
  </w:num>
  <w:num w:numId="5" w16cid:durableId="1565720960">
    <w:abstractNumId w:val="17"/>
  </w:num>
  <w:num w:numId="6" w16cid:durableId="724571349">
    <w:abstractNumId w:val="4"/>
  </w:num>
  <w:num w:numId="7" w16cid:durableId="1368069346">
    <w:abstractNumId w:val="0"/>
  </w:num>
  <w:num w:numId="8" w16cid:durableId="1179123982">
    <w:abstractNumId w:val="18"/>
  </w:num>
  <w:num w:numId="9" w16cid:durableId="835727473">
    <w:abstractNumId w:val="3"/>
  </w:num>
  <w:num w:numId="10" w16cid:durableId="718476415">
    <w:abstractNumId w:val="2"/>
  </w:num>
  <w:num w:numId="11" w16cid:durableId="374548965">
    <w:abstractNumId w:val="16"/>
  </w:num>
  <w:num w:numId="12" w16cid:durableId="252395036">
    <w:abstractNumId w:val="15"/>
  </w:num>
  <w:num w:numId="13" w16cid:durableId="650448197">
    <w:abstractNumId w:val="5"/>
  </w:num>
  <w:num w:numId="14" w16cid:durableId="1186212618">
    <w:abstractNumId w:val="11"/>
  </w:num>
  <w:num w:numId="15" w16cid:durableId="1407805365">
    <w:abstractNumId w:val="10"/>
  </w:num>
  <w:num w:numId="16" w16cid:durableId="1358388281">
    <w:abstractNumId w:val="7"/>
  </w:num>
  <w:num w:numId="17" w16cid:durableId="1132015791">
    <w:abstractNumId w:val="13"/>
  </w:num>
  <w:num w:numId="18" w16cid:durableId="1871529015">
    <w:abstractNumId w:val="8"/>
  </w:num>
  <w:num w:numId="19" w16cid:durableId="915437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07"/>
    <w:rsid w:val="00000A97"/>
    <w:rsid w:val="0000149F"/>
    <w:rsid w:val="000014FB"/>
    <w:rsid w:val="00002487"/>
    <w:rsid w:val="0000263D"/>
    <w:rsid w:val="00003653"/>
    <w:rsid w:val="00003FC5"/>
    <w:rsid w:val="000048A7"/>
    <w:rsid w:val="000066B8"/>
    <w:rsid w:val="00007A5C"/>
    <w:rsid w:val="000103AF"/>
    <w:rsid w:val="000126F8"/>
    <w:rsid w:val="0001413C"/>
    <w:rsid w:val="0001429D"/>
    <w:rsid w:val="000151B3"/>
    <w:rsid w:val="000202E8"/>
    <w:rsid w:val="00020BA4"/>
    <w:rsid w:val="00020D20"/>
    <w:rsid w:val="00021F2D"/>
    <w:rsid w:val="000227D1"/>
    <w:rsid w:val="000228C6"/>
    <w:rsid w:val="00022D50"/>
    <w:rsid w:val="00023330"/>
    <w:rsid w:val="00024AE2"/>
    <w:rsid w:val="00024D05"/>
    <w:rsid w:val="00024EDE"/>
    <w:rsid w:val="0002577F"/>
    <w:rsid w:val="00026036"/>
    <w:rsid w:val="00026251"/>
    <w:rsid w:val="000275F7"/>
    <w:rsid w:val="00030AB3"/>
    <w:rsid w:val="00031646"/>
    <w:rsid w:val="00031CD1"/>
    <w:rsid w:val="000323E2"/>
    <w:rsid w:val="00033F1A"/>
    <w:rsid w:val="00034272"/>
    <w:rsid w:val="0003485A"/>
    <w:rsid w:val="00034AF2"/>
    <w:rsid w:val="00035760"/>
    <w:rsid w:val="00035968"/>
    <w:rsid w:val="00035D6A"/>
    <w:rsid w:val="000405F6"/>
    <w:rsid w:val="0004122B"/>
    <w:rsid w:val="00041C47"/>
    <w:rsid w:val="000436DF"/>
    <w:rsid w:val="00045F12"/>
    <w:rsid w:val="00046285"/>
    <w:rsid w:val="000505C9"/>
    <w:rsid w:val="000520EA"/>
    <w:rsid w:val="00052424"/>
    <w:rsid w:val="00053E28"/>
    <w:rsid w:val="00054001"/>
    <w:rsid w:val="000542E8"/>
    <w:rsid w:val="00054A37"/>
    <w:rsid w:val="00056814"/>
    <w:rsid w:val="0005782C"/>
    <w:rsid w:val="0006091D"/>
    <w:rsid w:val="00062F10"/>
    <w:rsid w:val="00063A92"/>
    <w:rsid w:val="00063D84"/>
    <w:rsid w:val="00063EC3"/>
    <w:rsid w:val="00067DF2"/>
    <w:rsid w:val="000706FD"/>
    <w:rsid w:val="0007193D"/>
    <w:rsid w:val="0007438C"/>
    <w:rsid w:val="000745A1"/>
    <w:rsid w:val="00075BB5"/>
    <w:rsid w:val="00081C7A"/>
    <w:rsid w:val="00084140"/>
    <w:rsid w:val="00086A6C"/>
    <w:rsid w:val="00086E81"/>
    <w:rsid w:val="00087E14"/>
    <w:rsid w:val="00090871"/>
    <w:rsid w:val="00090D97"/>
    <w:rsid w:val="0009216F"/>
    <w:rsid w:val="0009344F"/>
    <w:rsid w:val="00093C87"/>
    <w:rsid w:val="000947C4"/>
    <w:rsid w:val="00096FE9"/>
    <w:rsid w:val="000970B6"/>
    <w:rsid w:val="00097D7F"/>
    <w:rsid w:val="00097EB4"/>
    <w:rsid w:val="00097F28"/>
    <w:rsid w:val="000A5444"/>
    <w:rsid w:val="000A6654"/>
    <w:rsid w:val="000A7272"/>
    <w:rsid w:val="000A73B6"/>
    <w:rsid w:val="000B1658"/>
    <w:rsid w:val="000B2276"/>
    <w:rsid w:val="000B304A"/>
    <w:rsid w:val="000B321E"/>
    <w:rsid w:val="000B3331"/>
    <w:rsid w:val="000B3A58"/>
    <w:rsid w:val="000B44DB"/>
    <w:rsid w:val="000B558B"/>
    <w:rsid w:val="000B6279"/>
    <w:rsid w:val="000B6504"/>
    <w:rsid w:val="000B7A9B"/>
    <w:rsid w:val="000B7BA8"/>
    <w:rsid w:val="000B7E43"/>
    <w:rsid w:val="000B7FBE"/>
    <w:rsid w:val="000C1840"/>
    <w:rsid w:val="000C3DD2"/>
    <w:rsid w:val="000C43B9"/>
    <w:rsid w:val="000C6371"/>
    <w:rsid w:val="000C79B1"/>
    <w:rsid w:val="000D09E7"/>
    <w:rsid w:val="000D0B2D"/>
    <w:rsid w:val="000D1656"/>
    <w:rsid w:val="000D252B"/>
    <w:rsid w:val="000E15DE"/>
    <w:rsid w:val="000E314C"/>
    <w:rsid w:val="000E4B72"/>
    <w:rsid w:val="000E7E12"/>
    <w:rsid w:val="000F19C5"/>
    <w:rsid w:val="000F30A4"/>
    <w:rsid w:val="000F346D"/>
    <w:rsid w:val="000F478A"/>
    <w:rsid w:val="000F7024"/>
    <w:rsid w:val="00100C2F"/>
    <w:rsid w:val="001010CF"/>
    <w:rsid w:val="00103986"/>
    <w:rsid w:val="00104A6B"/>
    <w:rsid w:val="001103AB"/>
    <w:rsid w:val="001106A1"/>
    <w:rsid w:val="001110AF"/>
    <w:rsid w:val="001120EA"/>
    <w:rsid w:val="001127CE"/>
    <w:rsid w:val="0011281B"/>
    <w:rsid w:val="00113888"/>
    <w:rsid w:val="00113E86"/>
    <w:rsid w:val="00117CA7"/>
    <w:rsid w:val="0012031F"/>
    <w:rsid w:val="0012084A"/>
    <w:rsid w:val="001215A1"/>
    <w:rsid w:val="00121D36"/>
    <w:rsid w:val="00122FA3"/>
    <w:rsid w:val="00123C11"/>
    <w:rsid w:val="0012468D"/>
    <w:rsid w:val="001302B7"/>
    <w:rsid w:val="00130B7F"/>
    <w:rsid w:val="00130E46"/>
    <w:rsid w:val="0013106B"/>
    <w:rsid w:val="00131570"/>
    <w:rsid w:val="00134632"/>
    <w:rsid w:val="00135BD9"/>
    <w:rsid w:val="00137E1A"/>
    <w:rsid w:val="00140275"/>
    <w:rsid w:val="00141B0C"/>
    <w:rsid w:val="00141F1E"/>
    <w:rsid w:val="00141F66"/>
    <w:rsid w:val="0014295C"/>
    <w:rsid w:val="00143390"/>
    <w:rsid w:val="00143C84"/>
    <w:rsid w:val="00146D7B"/>
    <w:rsid w:val="0014719B"/>
    <w:rsid w:val="001505D7"/>
    <w:rsid w:val="0015078C"/>
    <w:rsid w:val="00150B70"/>
    <w:rsid w:val="0015209C"/>
    <w:rsid w:val="001541A7"/>
    <w:rsid w:val="00154D3E"/>
    <w:rsid w:val="00155D01"/>
    <w:rsid w:val="00156027"/>
    <w:rsid w:val="00156082"/>
    <w:rsid w:val="001570F5"/>
    <w:rsid w:val="0015715C"/>
    <w:rsid w:val="0016011B"/>
    <w:rsid w:val="00160176"/>
    <w:rsid w:val="001625A4"/>
    <w:rsid w:val="00162D48"/>
    <w:rsid w:val="00164166"/>
    <w:rsid w:val="00167835"/>
    <w:rsid w:val="00170B3C"/>
    <w:rsid w:val="0017144E"/>
    <w:rsid w:val="00171700"/>
    <w:rsid w:val="001733B8"/>
    <w:rsid w:val="00173992"/>
    <w:rsid w:val="00173D27"/>
    <w:rsid w:val="00175233"/>
    <w:rsid w:val="001753C1"/>
    <w:rsid w:val="00175C69"/>
    <w:rsid w:val="00180BB7"/>
    <w:rsid w:val="00183401"/>
    <w:rsid w:val="001865CD"/>
    <w:rsid w:val="00186988"/>
    <w:rsid w:val="00190063"/>
    <w:rsid w:val="001906E4"/>
    <w:rsid w:val="001907B9"/>
    <w:rsid w:val="00191165"/>
    <w:rsid w:val="00192C72"/>
    <w:rsid w:val="00192CCA"/>
    <w:rsid w:val="00193723"/>
    <w:rsid w:val="00194746"/>
    <w:rsid w:val="00196306"/>
    <w:rsid w:val="001966BA"/>
    <w:rsid w:val="00197930"/>
    <w:rsid w:val="001A354C"/>
    <w:rsid w:val="001A683A"/>
    <w:rsid w:val="001B1CD5"/>
    <w:rsid w:val="001B2E48"/>
    <w:rsid w:val="001B3C85"/>
    <w:rsid w:val="001B59FA"/>
    <w:rsid w:val="001B6A76"/>
    <w:rsid w:val="001C031D"/>
    <w:rsid w:val="001C1FC6"/>
    <w:rsid w:val="001C2E6A"/>
    <w:rsid w:val="001C3ACB"/>
    <w:rsid w:val="001C45DA"/>
    <w:rsid w:val="001C48F7"/>
    <w:rsid w:val="001D02DF"/>
    <w:rsid w:val="001D27F7"/>
    <w:rsid w:val="001D382E"/>
    <w:rsid w:val="001D3DB7"/>
    <w:rsid w:val="001D48EF"/>
    <w:rsid w:val="001D5E79"/>
    <w:rsid w:val="001D6275"/>
    <w:rsid w:val="001D6446"/>
    <w:rsid w:val="001D6E73"/>
    <w:rsid w:val="001D7760"/>
    <w:rsid w:val="001D7E06"/>
    <w:rsid w:val="001E1320"/>
    <w:rsid w:val="001E262A"/>
    <w:rsid w:val="001E32E6"/>
    <w:rsid w:val="001E4F13"/>
    <w:rsid w:val="001F0862"/>
    <w:rsid w:val="001F11C9"/>
    <w:rsid w:val="001F12CF"/>
    <w:rsid w:val="001F1B08"/>
    <w:rsid w:val="001F4975"/>
    <w:rsid w:val="001F592A"/>
    <w:rsid w:val="001F61B8"/>
    <w:rsid w:val="001F6493"/>
    <w:rsid w:val="001F754D"/>
    <w:rsid w:val="0020037C"/>
    <w:rsid w:val="00202BF1"/>
    <w:rsid w:val="00207013"/>
    <w:rsid w:val="00207259"/>
    <w:rsid w:val="0020750B"/>
    <w:rsid w:val="00207D59"/>
    <w:rsid w:val="00210145"/>
    <w:rsid w:val="002112E4"/>
    <w:rsid w:val="0021152B"/>
    <w:rsid w:val="002117FF"/>
    <w:rsid w:val="00212715"/>
    <w:rsid w:val="00213FB0"/>
    <w:rsid w:val="00214748"/>
    <w:rsid w:val="00216112"/>
    <w:rsid w:val="00216482"/>
    <w:rsid w:val="00216D2C"/>
    <w:rsid w:val="00217049"/>
    <w:rsid w:val="00217239"/>
    <w:rsid w:val="00217545"/>
    <w:rsid w:val="002214D0"/>
    <w:rsid w:val="00222872"/>
    <w:rsid w:val="00222CEE"/>
    <w:rsid w:val="00223397"/>
    <w:rsid w:val="00224CC9"/>
    <w:rsid w:val="0022583F"/>
    <w:rsid w:val="00226228"/>
    <w:rsid w:val="002273C5"/>
    <w:rsid w:val="00227971"/>
    <w:rsid w:val="00230DA5"/>
    <w:rsid w:val="002326BC"/>
    <w:rsid w:val="00232B00"/>
    <w:rsid w:val="00232DEE"/>
    <w:rsid w:val="00233138"/>
    <w:rsid w:val="0023359F"/>
    <w:rsid w:val="00233A02"/>
    <w:rsid w:val="00233E53"/>
    <w:rsid w:val="00234A78"/>
    <w:rsid w:val="00236457"/>
    <w:rsid w:val="002416E8"/>
    <w:rsid w:val="00241E2E"/>
    <w:rsid w:val="0024380C"/>
    <w:rsid w:val="0024424B"/>
    <w:rsid w:val="00247836"/>
    <w:rsid w:val="002478AE"/>
    <w:rsid w:val="0025076B"/>
    <w:rsid w:val="00250E03"/>
    <w:rsid w:val="00252CB7"/>
    <w:rsid w:val="00253F92"/>
    <w:rsid w:val="00254DC3"/>
    <w:rsid w:val="0025648C"/>
    <w:rsid w:val="0025751A"/>
    <w:rsid w:val="00260D5E"/>
    <w:rsid w:val="002623DB"/>
    <w:rsid w:val="0026301A"/>
    <w:rsid w:val="00263E86"/>
    <w:rsid w:val="0026468C"/>
    <w:rsid w:val="002655C2"/>
    <w:rsid w:val="0026571E"/>
    <w:rsid w:val="00265F47"/>
    <w:rsid w:val="002720B8"/>
    <w:rsid w:val="002721FF"/>
    <w:rsid w:val="00272453"/>
    <w:rsid w:val="00272549"/>
    <w:rsid w:val="002738EB"/>
    <w:rsid w:val="00274EB4"/>
    <w:rsid w:val="00274FDD"/>
    <w:rsid w:val="00276711"/>
    <w:rsid w:val="002802CE"/>
    <w:rsid w:val="00280373"/>
    <w:rsid w:val="00280EDD"/>
    <w:rsid w:val="0028323A"/>
    <w:rsid w:val="00283442"/>
    <w:rsid w:val="0028403A"/>
    <w:rsid w:val="00284A67"/>
    <w:rsid w:val="00284AF8"/>
    <w:rsid w:val="0028643B"/>
    <w:rsid w:val="00286635"/>
    <w:rsid w:val="00287613"/>
    <w:rsid w:val="00287D56"/>
    <w:rsid w:val="0029061A"/>
    <w:rsid w:val="002914ED"/>
    <w:rsid w:val="00294BE9"/>
    <w:rsid w:val="00294FED"/>
    <w:rsid w:val="00295499"/>
    <w:rsid w:val="00296762"/>
    <w:rsid w:val="00296A2A"/>
    <w:rsid w:val="00296B00"/>
    <w:rsid w:val="0029717A"/>
    <w:rsid w:val="002A12F3"/>
    <w:rsid w:val="002A1855"/>
    <w:rsid w:val="002A1A17"/>
    <w:rsid w:val="002A1B03"/>
    <w:rsid w:val="002A25A7"/>
    <w:rsid w:val="002A4F6A"/>
    <w:rsid w:val="002B0E3B"/>
    <w:rsid w:val="002B108F"/>
    <w:rsid w:val="002B21F7"/>
    <w:rsid w:val="002B2EA3"/>
    <w:rsid w:val="002B4C6D"/>
    <w:rsid w:val="002B4D87"/>
    <w:rsid w:val="002B5F9F"/>
    <w:rsid w:val="002B60FB"/>
    <w:rsid w:val="002B72C0"/>
    <w:rsid w:val="002C1172"/>
    <w:rsid w:val="002C50BE"/>
    <w:rsid w:val="002C52B8"/>
    <w:rsid w:val="002C7517"/>
    <w:rsid w:val="002D16CB"/>
    <w:rsid w:val="002D1D8A"/>
    <w:rsid w:val="002D2F32"/>
    <w:rsid w:val="002D4E3C"/>
    <w:rsid w:val="002D5E30"/>
    <w:rsid w:val="002E071C"/>
    <w:rsid w:val="002E28E2"/>
    <w:rsid w:val="002E2A6F"/>
    <w:rsid w:val="002E43AD"/>
    <w:rsid w:val="002E476F"/>
    <w:rsid w:val="002E5965"/>
    <w:rsid w:val="002E7F34"/>
    <w:rsid w:val="002F04AA"/>
    <w:rsid w:val="002F0F66"/>
    <w:rsid w:val="002F2935"/>
    <w:rsid w:val="002F2D63"/>
    <w:rsid w:val="002F31A7"/>
    <w:rsid w:val="002F44D4"/>
    <w:rsid w:val="002F6A4F"/>
    <w:rsid w:val="0030368E"/>
    <w:rsid w:val="00304F58"/>
    <w:rsid w:val="00305185"/>
    <w:rsid w:val="00305987"/>
    <w:rsid w:val="003069FE"/>
    <w:rsid w:val="00312AFA"/>
    <w:rsid w:val="00312CB1"/>
    <w:rsid w:val="003140DD"/>
    <w:rsid w:val="00315A0E"/>
    <w:rsid w:val="00320D03"/>
    <w:rsid w:val="00321867"/>
    <w:rsid w:val="003229B1"/>
    <w:rsid w:val="00323336"/>
    <w:rsid w:val="0032356E"/>
    <w:rsid w:val="00324F38"/>
    <w:rsid w:val="003263F2"/>
    <w:rsid w:val="003271E3"/>
    <w:rsid w:val="00327E52"/>
    <w:rsid w:val="003304C7"/>
    <w:rsid w:val="00330ED4"/>
    <w:rsid w:val="00331436"/>
    <w:rsid w:val="003333C6"/>
    <w:rsid w:val="0033550E"/>
    <w:rsid w:val="00335781"/>
    <w:rsid w:val="003373A3"/>
    <w:rsid w:val="0033785D"/>
    <w:rsid w:val="00342F9F"/>
    <w:rsid w:val="00345BE2"/>
    <w:rsid w:val="00346661"/>
    <w:rsid w:val="00350BF3"/>
    <w:rsid w:val="00351B2A"/>
    <w:rsid w:val="00352107"/>
    <w:rsid w:val="003545C0"/>
    <w:rsid w:val="0035747E"/>
    <w:rsid w:val="003609C4"/>
    <w:rsid w:val="00363559"/>
    <w:rsid w:val="00363807"/>
    <w:rsid w:val="00364794"/>
    <w:rsid w:val="00370DD3"/>
    <w:rsid w:val="003727C4"/>
    <w:rsid w:val="00372BF4"/>
    <w:rsid w:val="00372F21"/>
    <w:rsid w:val="003733E9"/>
    <w:rsid w:val="00374A49"/>
    <w:rsid w:val="003763A9"/>
    <w:rsid w:val="003764FE"/>
    <w:rsid w:val="003768B5"/>
    <w:rsid w:val="00377B49"/>
    <w:rsid w:val="00380141"/>
    <w:rsid w:val="00380361"/>
    <w:rsid w:val="00380ACB"/>
    <w:rsid w:val="00380D06"/>
    <w:rsid w:val="003837CC"/>
    <w:rsid w:val="0038591B"/>
    <w:rsid w:val="00390186"/>
    <w:rsid w:val="00390CD1"/>
    <w:rsid w:val="00393292"/>
    <w:rsid w:val="0039420D"/>
    <w:rsid w:val="00394BAE"/>
    <w:rsid w:val="00396005"/>
    <w:rsid w:val="00397301"/>
    <w:rsid w:val="003A039E"/>
    <w:rsid w:val="003A05FF"/>
    <w:rsid w:val="003A0882"/>
    <w:rsid w:val="003A16F2"/>
    <w:rsid w:val="003A1B23"/>
    <w:rsid w:val="003A3C9A"/>
    <w:rsid w:val="003A41B7"/>
    <w:rsid w:val="003A4585"/>
    <w:rsid w:val="003A4DAF"/>
    <w:rsid w:val="003A5DDF"/>
    <w:rsid w:val="003A622F"/>
    <w:rsid w:val="003A702E"/>
    <w:rsid w:val="003B04F8"/>
    <w:rsid w:val="003B2365"/>
    <w:rsid w:val="003B476A"/>
    <w:rsid w:val="003B4F3B"/>
    <w:rsid w:val="003B57A5"/>
    <w:rsid w:val="003B658C"/>
    <w:rsid w:val="003B7C8C"/>
    <w:rsid w:val="003C02BD"/>
    <w:rsid w:val="003C120F"/>
    <w:rsid w:val="003C325A"/>
    <w:rsid w:val="003C33DF"/>
    <w:rsid w:val="003C4236"/>
    <w:rsid w:val="003C6A31"/>
    <w:rsid w:val="003C72FD"/>
    <w:rsid w:val="003C75C5"/>
    <w:rsid w:val="003D020A"/>
    <w:rsid w:val="003D124F"/>
    <w:rsid w:val="003D1E3F"/>
    <w:rsid w:val="003D2D9F"/>
    <w:rsid w:val="003D4E2C"/>
    <w:rsid w:val="003D5266"/>
    <w:rsid w:val="003D71F1"/>
    <w:rsid w:val="003E24F5"/>
    <w:rsid w:val="003E5751"/>
    <w:rsid w:val="003E6E79"/>
    <w:rsid w:val="003E79CA"/>
    <w:rsid w:val="003F0FA8"/>
    <w:rsid w:val="003F1C3D"/>
    <w:rsid w:val="003F1E64"/>
    <w:rsid w:val="003F2105"/>
    <w:rsid w:val="003F3877"/>
    <w:rsid w:val="003F3AB0"/>
    <w:rsid w:val="003F3EB9"/>
    <w:rsid w:val="003F402D"/>
    <w:rsid w:val="003F62EF"/>
    <w:rsid w:val="003F63D2"/>
    <w:rsid w:val="003F712F"/>
    <w:rsid w:val="0040298D"/>
    <w:rsid w:val="00403FF1"/>
    <w:rsid w:val="00405AF3"/>
    <w:rsid w:val="00406AF9"/>
    <w:rsid w:val="00407A7B"/>
    <w:rsid w:val="00411E01"/>
    <w:rsid w:val="00412920"/>
    <w:rsid w:val="004137D6"/>
    <w:rsid w:val="004162DB"/>
    <w:rsid w:val="0041753C"/>
    <w:rsid w:val="00417C80"/>
    <w:rsid w:val="00421CE9"/>
    <w:rsid w:val="00422684"/>
    <w:rsid w:val="00422F43"/>
    <w:rsid w:val="00424E8D"/>
    <w:rsid w:val="004253B1"/>
    <w:rsid w:val="00425824"/>
    <w:rsid w:val="00426996"/>
    <w:rsid w:val="00427172"/>
    <w:rsid w:val="00430531"/>
    <w:rsid w:val="004317F0"/>
    <w:rsid w:val="00431BCB"/>
    <w:rsid w:val="00432930"/>
    <w:rsid w:val="00435729"/>
    <w:rsid w:val="004363A8"/>
    <w:rsid w:val="00436843"/>
    <w:rsid w:val="00436C49"/>
    <w:rsid w:val="00437EE1"/>
    <w:rsid w:val="004408E7"/>
    <w:rsid w:val="00440CDC"/>
    <w:rsid w:val="00440EF6"/>
    <w:rsid w:val="004410FF"/>
    <w:rsid w:val="004418B2"/>
    <w:rsid w:val="0044610B"/>
    <w:rsid w:val="00447C11"/>
    <w:rsid w:val="004530D2"/>
    <w:rsid w:val="004534A9"/>
    <w:rsid w:val="00453A53"/>
    <w:rsid w:val="0045477E"/>
    <w:rsid w:val="00454F3C"/>
    <w:rsid w:val="00457E7C"/>
    <w:rsid w:val="0046031D"/>
    <w:rsid w:val="00460906"/>
    <w:rsid w:val="00461375"/>
    <w:rsid w:val="00461C09"/>
    <w:rsid w:val="00462734"/>
    <w:rsid w:val="00463994"/>
    <w:rsid w:val="00464F6D"/>
    <w:rsid w:val="00465D44"/>
    <w:rsid w:val="00474B05"/>
    <w:rsid w:val="00474D65"/>
    <w:rsid w:val="0047601C"/>
    <w:rsid w:val="00476AC9"/>
    <w:rsid w:val="0048171A"/>
    <w:rsid w:val="004837EF"/>
    <w:rsid w:val="00483B19"/>
    <w:rsid w:val="004849B4"/>
    <w:rsid w:val="00485E4D"/>
    <w:rsid w:val="00487D2D"/>
    <w:rsid w:val="0049279E"/>
    <w:rsid w:val="00492DD8"/>
    <w:rsid w:val="004932CA"/>
    <w:rsid w:val="004935C4"/>
    <w:rsid w:val="00494489"/>
    <w:rsid w:val="004968CA"/>
    <w:rsid w:val="00496A1A"/>
    <w:rsid w:val="004A11F8"/>
    <w:rsid w:val="004A1FE3"/>
    <w:rsid w:val="004A2733"/>
    <w:rsid w:val="004A3C76"/>
    <w:rsid w:val="004A4511"/>
    <w:rsid w:val="004A4A54"/>
    <w:rsid w:val="004A61B3"/>
    <w:rsid w:val="004B0A62"/>
    <w:rsid w:val="004B115B"/>
    <w:rsid w:val="004B25C6"/>
    <w:rsid w:val="004B2B5D"/>
    <w:rsid w:val="004B4DCB"/>
    <w:rsid w:val="004C0BEF"/>
    <w:rsid w:val="004C176B"/>
    <w:rsid w:val="004C1BFA"/>
    <w:rsid w:val="004C21BF"/>
    <w:rsid w:val="004C44B1"/>
    <w:rsid w:val="004C67C6"/>
    <w:rsid w:val="004C7387"/>
    <w:rsid w:val="004C7BE2"/>
    <w:rsid w:val="004D0FDB"/>
    <w:rsid w:val="004D1B04"/>
    <w:rsid w:val="004D5B0B"/>
    <w:rsid w:val="004D609E"/>
    <w:rsid w:val="004D7532"/>
    <w:rsid w:val="004D7A49"/>
    <w:rsid w:val="004E08F0"/>
    <w:rsid w:val="004E22FE"/>
    <w:rsid w:val="004E27F4"/>
    <w:rsid w:val="004E4541"/>
    <w:rsid w:val="004E4DB5"/>
    <w:rsid w:val="004E79B9"/>
    <w:rsid w:val="004F0F7F"/>
    <w:rsid w:val="004F16EF"/>
    <w:rsid w:val="004F2982"/>
    <w:rsid w:val="004F3E85"/>
    <w:rsid w:val="004F5404"/>
    <w:rsid w:val="004F5F7C"/>
    <w:rsid w:val="004F772B"/>
    <w:rsid w:val="00500A90"/>
    <w:rsid w:val="00501294"/>
    <w:rsid w:val="00501743"/>
    <w:rsid w:val="00501D1F"/>
    <w:rsid w:val="00502066"/>
    <w:rsid w:val="00502C3C"/>
    <w:rsid w:val="00503AB7"/>
    <w:rsid w:val="00504788"/>
    <w:rsid w:val="00506132"/>
    <w:rsid w:val="005109B8"/>
    <w:rsid w:val="005126B6"/>
    <w:rsid w:val="00512971"/>
    <w:rsid w:val="0051363E"/>
    <w:rsid w:val="00513BDA"/>
    <w:rsid w:val="0051402A"/>
    <w:rsid w:val="005142F0"/>
    <w:rsid w:val="00514DC9"/>
    <w:rsid w:val="00515E34"/>
    <w:rsid w:val="00516925"/>
    <w:rsid w:val="0052407D"/>
    <w:rsid w:val="00524983"/>
    <w:rsid w:val="00524B4D"/>
    <w:rsid w:val="00530C3B"/>
    <w:rsid w:val="0053230B"/>
    <w:rsid w:val="00532CA9"/>
    <w:rsid w:val="00533C33"/>
    <w:rsid w:val="00535DFF"/>
    <w:rsid w:val="00537080"/>
    <w:rsid w:val="0054026D"/>
    <w:rsid w:val="00540739"/>
    <w:rsid w:val="00540829"/>
    <w:rsid w:val="00540EC9"/>
    <w:rsid w:val="00540F19"/>
    <w:rsid w:val="00541BFE"/>
    <w:rsid w:val="00542DA6"/>
    <w:rsid w:val="00544868"/>
    <w:rsid w:val="00546BFC"/>
    <w:rsid w:val="00546FF0"/>
    <w:rsid w:val="0055315C"/>
    <w:rsid w:val="0055394E"/>
    <w:rsid w:val="005555B3"/>
    <w:rsid w:val="00556ED4"/>
    <w:rsid w:val="005600A6"/>
    <w:rsid w:val="00561D1A"/>
    <w:rsid w:val="00561E52"/>
    <w:rsid w:val="00566A9D"/>
    <w:rsid w:val="00570CAE"/>
    <w:rsid w:val="00570DC6"/>
    <w:rsid w:val="00570F38"/>
    <w:rsid w:val="00571A99"/>
    <w:rsid w:val="00573AB9"/>
    <w:rsid w:val="00573F1B"/>
    <w:rsid w:val="00574500"/>
    <w:rsid w:val="00574C62"/>
    <w:rsid w:val="005764E3"/>
    <w:rsid w:val="00576763"/>
    <w:rsid w:val="005776D1"/>
    <w:rsid w:val="0057797E"/>
    <w:rsid w:val="00581FE0"/>
    <w:rsid w:val="00583233"/>
    <w:rsid w:val="0058536D"/>
    <w:rsid w:val="00585E65"/>
    <w:rsid w:val="00590C5B"/>
    <w:rsid w:val="00593327"/>
    <w:rsid w:val="00593D37"/>
    <w:rsid w:val="00593FE3"/>
    <w:rsid w:val="0059412D"/>
    <w:rsid w:val="005952AE"/>
    <w:rsid w:val="00595E55"/>
    <w:rsid w:val="00596030"/>
    <w:rsid w:val="005A1074"/>
    <w:rsid w:val="005A279C"/>
    <w:rsid w:val="005A3646"/>
    <w:rsid w:val="005A5687"/>
    <w:rsid w:val="005A7021"/>
    <w:rsid w:val="005A75A9"/>
    <w:rsid w:val="005B0201"/>
    <w:rsid w:val="005B0DD0"/>
    <w:rsid w:val="005B0FCD"/>
    <w:rsid w:val="005B2654"/>
    <w:rsid w:val="005B60F0"/>
    <w:rsid w:val="005B61B6"/>
    <w:rsid w:val="005C01E5"/>
    <w:rsid w:val="005C0487"/>
    <w:rsid w:val="005C31EE"/>
    <w:rsid w:val="005C3D43"/>
    <w:rsid w:val="005C4451"/>
    <w:rsid w:val="005C53AA"/>
    <w:rsid w:val="005C73E2"/>
    <w:rsid w:val="005D285A"/>
    <w:rsid w:val="005D2E71"/>
    <w:rsid w:val="005D51DB"/>
    <w:rsid w:val="005D691C"/>
    <w:rsid w:val="005D743D"/>
    <w:rsid w:val="005E007D"/>
    <w:rsid w:val="005E0E91"/>
    <w:rsid w:val="005E10D6"/>
    <w:rsid w:val="005E1FD5"/>
    <w:rsid w:val="005E2F86"/>
    <w:rsid w:val="005E33A6"/>
    <w:rsid w:val="005E3447"/>
    <w:rsid w:val="005E3734"/>
    <w:rsid w:val="005E4CE2"/>
    <w:rsid w:val="005E56A6"/>
    <w:rsid w:val="005E5CC4"/>
    <w:rsid w:val="005E7FD2"/>
    <w:rsid w:val="005F0E7F"/>
    <w:rsid w:val="005F10C2"/>
    <w:rsid w:val="005F2A69"/>
    <w:rsid w:val="005F50D4"/>
    <w:rsid w:val="005F5505"/>
    <w:rsid w:val="005F6A1C"/>
    <w:rsid w:val="005F7340"/>
    <w:rsid w:val="005F73B9"/>
    <w:rsid w:val="005F77AE"/>
    <w:rsid w:val="005F77F5"/>
    <w:rsid w:val="005F7819"/>
    <w:rsid w:val="00600A47"/>
    <w:rsid w:val="00602024"/>
    <w:rsid w:val="00603764"/>
    <w:rsid w:val="00603B9A"/>
    <w:rsid w:val="00604D1E"/>
    <w:rsid w:val="00604FBF"/>
    <w:rsid w:val="00605E82"/>
    <w:rsid w:val="00606819"/>
    <w:rsid w:val="00606C74"/>
    <w:rsid w:val="00607975"/>
    <w:rsid w:val="006079D6"/>
    <w:rsid w:val="00607DB0"/>
    <w:rsid w:val="00610CFC"/>
    <w:rsid w:val="00611EFC"/>
    <w:rsid w:val="00612258"/>
    <w:rsid w:val="00614105"/>
    <w:rsid w:val="006141FC"/>
    <w:rsid w:val="00617069"/>
    <w:rsid w:val="006201B4"/>
    <w:rsid w:val="006202DD"/>
    <w:rsid w:val="00621D4E"/>
    <w:rsid w:val="006227CD"/>
    <w:rsid w:val="00625217"/>
    <w:rsid w:val="006252F2"/>
    <w:rsid w:val="00625AFC"/>
    <w:rsid w:val="0062633C"/>
    <w:rsid w:val="00626607"/>
    <w:rsid w:val="00627F0D"/>
    <w:rsid w:val="00630346"/>
    <w:rsid w:val="00630499"/>
    <w:rsid w:val="00631A1C"/>
    <w:rsid w:val="006322DE"/>
    <w:rsid w:val="00632594"/>
    <w:rsid w:val="00634210"/>
    <w:rsid w:val="00634690"/>
    <w:rsid w:val="00634A80"/>
    <w:rsid w:val="006352CC"/>
    <w:rsid w:val="00637217"/>
    <w:rsid w:val="006400DF"/>
    <w:rsid w:val="00647339"/>
    <w:rsid w:val="0064759B"/>
    <w:rsid w:val="00647DFE"/>
    <w:rsid w:val="00652B76"/>
    <w:rsid w:val="006532ED"/>
    <w:rsid w:val="0065555E"/>
    <w:rsid w:val="00656C29"/>
    <w:rsid w:val="0065713B"/>
    <w:rsid w:val="00657214"/>
    <w:rsid w:val="006574B4"/>
    <w:rsid w:val="006625AB"/>
    <w:rsid w:val="00663309"/>
    <w:rsid w:val="00663929"/>
    <w:rsid w:val="00664576"/>
    <w:rsid w:val="00664BB1"/>
    <w:rsid w:val="00665389"/>
    <w:rsid w:val="00666AB1"/>
    <w:rsid w:val="00666B1F"/>
    <w:rsid w:val="00670DC4"/>
    <w:rsid w:val="00671061"/>
    <w:rsid w:val="00671842"/>
    <w:rsid w:val="0067227C"/>
    <w:rsid w:val="006728BA"/>
    <w:rsid w:val="00673602"/>
    <w:rsid w:val="006737B4"/>
    <w:rsid w:val="006748A8"/>
    <w:rsid w:val="00674A25"/>
    <w:rsid w:val="0068015C"/>
    <w:rsid w:val="006846F1"/>
    <w:rsid w:val="0068602B"/>
    <w:rsid w:val="0068683A"/>
    <w:rsid w:val="00687058"/>
    <w:rsid w:val="00687CA8"/>
    <w:rsid w:val="00693332"/>
    <w:rsid w:val="00694C6E"/>
    <w:rsid w:val="00696213"/>
    <w:rsid w:val="006970E5"/>
    <w:rsid w:val="006975BD"/>
    <w:rsid w:val="00697A86"/>
    <w:rsid w:val="006A0B25"/>
    <w:rsid w:val="006A2231"/>
    <w:rsid w:val="006A3DF8"/>
    <w:rsid w:val="006A5A9E"/>
    <w:rsid w:val="006A6CC9"/>
    <w:rsid w:val="006B1083"/>
    <w:rsid w:val="006B2A32"/>
    <w:rsid w:val="006B3550"/>
    <w:rsid w:val="006B42A9"/>
    <w:rsid w:val="006B4913"/>
    <w:rsid w:val="006B55A0"/>
    <w:rsid w:val="006B5A6D"/>
    <w:rsid w:val="006C00F2"/>
    <w:rsid w:val="006C0B21"/>
    <w:rsid w:val="006C12BB"/>
    <w:rsid w:val="006C1E73"/>
    <w:rsid w:val="006C3309"/>
    <w:rsid w:val="006C38FD"/>
    <w:rsid w:val="006C61D7"/>
    <w:rsid w:val="006C654F"/>
    <w:rsid w:val="006D0A68"/>
    <w:rsid w:val="006D0F3C"/>
    <w:rsid w:val="006D402E"/>
    <w:rsid w:val="006D40ED"/>
    <w:rsid w:val="006D54B3"/>
    <w:rsid w:val="006D57DC"/>
    <w:rsid w:val="006D58FF"/>
    <w:rsid w:val="006D6E65"/>
    <w:rsid w:val="006E3022"/>
    <w:rsid w:val="006E6278"/>
    <w:rsid w:val="006F00F1"/>
    <w:rsid w:val="006F22E6"/>
    <w:rsid w:val="006F2881"/>
    <w:rsid w:val="006F2DBD"/>
    <w:rsid w:val="006F316B"/>
    <w:rsid w:val="006F33B2"/>
    <w:rsid w:val="006F384A"/>
    <w:rsid w:val="006F50C5"/>
    <w:rsid w:val="006F5D05"/>
    <w:rsid w:val="0070192C"/>
    <w:rsid w:val="00701B61"/>
    <w:rsid w:val="00702092"/>
    <w:rsid w:val="00702AE4"/>
    <w:rsid w:val="00702D7C"/>
    <w:rsid w:val="00703527"/>
    <w:rsid w:val="00704ACB"/>
    <w:rsid w:val="0070515A"/>
    <w:rsid w:val="007077C9"/>
    <w:rsid w:val="0071051C"/>
    <w:rsid w:val="00711E0A"/>
    <w:rsid w:val="00713CD9"/>
    <w:rsid w:val="007140C8"/>
    <w:rsid w:val="00720505"/>
    <w:rsid w:val="00720E17"/>
    <w:rsid w:val="00721566"/>
    <w:rsid w:val="00721F17"/>
    <w:rsid w:val="00722103"/>
    <w:rsid w:val="00722D5D"/>
    <w:rsid w:val="00722D8A"/>
    <w:rsid w:val="00723457"/>
    <w:rsid w:val="00723960"/>
    <w:rsid w:val="00725345"/>
    <w:rsid w:val="0072548B"/>
    <w:rsid w:val="0072631B"/>
    <w:rsid w:val="007263B0"/>
    <w:rsid w:val="0072657A"/>
    <w:rsid w:val="00726608"/>
    <w:rsid w:val="00726B3D"/>
    <w:rsid w:val="0073228E"/>
    <w:rsid w:val="00732F48"/>
    <w:rsid w:val="0073493B"/>
    <w:rsid w:val="007358B5"/>
    <w:rsid w:val="00735F22"/>
    <w:rsid w:val="00736BE8"/>
    <w:rsid w:val="007378D4"/>
    <w:rsid w:val="00737FCD"/>
    <w:rsid w:val="00740102"/>
    <w:rsid w:val="00740BE4"/>
    <w:rsid w:val="0074105D"/>
    <w:rsid w:val="00741C2A"/>
    <w:rsid w:val="0074259A"/>
    <w:rsid w:val="00743227"/>
    <w:rsid w:val="0075024C"/>
    <w:rsid w:val="00751158"/>
    <w:rsid w:val="00751C87"/>
    <w:rsid w:val="00755EC3"/>
    <w:rsid w:val="0075735A"/>
    <w:rsid w:val="00757DD2"/>
    <w:rsid w:val="0076063E"/>
    <w:rsid w:val="00761082"/>
    <w:rsid w:val="007626D3"/>
    <w:rsid w:val="00765842"/>
    <w:rsid w:val="00766025"/>
    <w:rsid w:val="0076768B"/>
    <w:rsid w:val="007704EE"/>
    <w:rsid w:val="007736F1"/>
    <w:rsid w:val="0077375E"/>
    <w:rsid w:val="00774868"/>
    <w:rsid w:val="007770ED"/>
    <w:rsid w:val="00777AF6"/>
    <w:rsid w:val="0078041E"/>
    <w:rsid w:val="007811D9"/>
    <w:rsid w:val="0078184F"/>
    <w:rsid w:val="00783ADF"/>
    <w:rsid w:val="00783B0E"/>
    <w:rsid w:val="00783DEC"/>
    <w:rsid w:val="00787001"/>
    <w:rsid w:val="00787EA7"/>
    <w:rsid w:val="007913A1"/>
    <w:rsid w:val="00791BEE"/>
    <w:rsid w:val="0079292A"/>
    <w:rsid w:val="00793409"/>
    <w:rsid w:val="007939B1"/>
    <w:rsid w:val="0079446B"/>
    <w:rsid w:val="0079573A"/>
    <w:rsid w:val="0079613F"/>
    <w:rsid w:val="007974FD"/>
    <w:rsid w:val="007A0810"/>
    <w:rsid w:val="007A0F01"/>
    <w:rsid w:val="007A142C"/>
    <w:rsid w:val="007A260F"/>
    <w:rsid w:val="007A3013"/>
    <w:rsid w:val="007A5A23"/>
    <w:rsid w:val="007A5F4F"/>
    <w:rsid w:val="007A62F9"/>
    <w:rsid w:val="007B2399"/>
    <w:rsid w:val="007B29A6"/>
    <w:rsid w:val="007B29BC"/>
    <w:rsid w:val="007B51D0"/>
    <w:rsid w:val="007B625A"/>
    <w:rsid w:val="007C163A"/>
    <w:rsid w:val="007C2A8E"/>
    <w:rsid w:val="007C3063"/>
    <w:rsid w:val="007C3B76"/>
    <w:rsid w:val="007C69D8"/>
    <w:rsid w:val="007D2902"/>
    <w:rsid w:val="007D63AD"/>
    <w:rsid w:val="007E2E62"/>
    <w:rsid w:val="007E36AC"/>
    <w:rsid w:val="007E57BD"/>
    <w:rsid w:val="007F14F3"/>
    <w:rsid w:val="007F4D41"/>
    <w:rsid w:val="007F650D"/>
    <w:rsid w:val="007F72BC"/>
    <w:rsid w:val="0080020D"/>
    <w:rsid w:val="0080044A"/>
    <w:rsid w:val="00801861"/>
    <w:rsid w:val="00801944"/>
    <w:rsid w:val="008033C4"/>
    <w:rsid w:val="008035CC"/>
    <w:rsid w:val="00804445"/>
    <w:rsid w:val="00804D98"/>
    <w:rsid w:val="00805944"/>
    <w:rsid w:val="00807103"/>
    <w:rsid w:val="00807723"/>
    <w:rsid w:val="008114E1"/>
    <w:rsid w:val="00811FE6"/>
    <w:rsid w:val="008124EF"/>
    <w:rsid w:val="0081269C"/>
    <w:rsid w:val="008135A6"/>
    <w:rsid w:val="008159A3"/>
    <w:rsid w:val="00820102"/>
    <w:rsid w:val="00820158"/>
    <w:rsid w:val="008205B2"/>
    <w:rsid w:val="008235D4"/>
    <w:rsid w:val="00824214"/>
    <w:rsid w:val="0082495C"/>
    <w:rsid w:val="00825FE0"/>
    <w:rsid w:val="00826543"/>
    <w:rsid w:val="0083074D"/>
    <w:rsid w:val="008308A3"/>
    <w:rsid w:val="00832B58"/>
    <w:rsid w:val="00833749"/>
    <w:rsid w:val="00833FC8"/>
    <w:rsid w:val="00834438"/>
    <w:rsid w:val="00835396"/>
    <w:rsid w:val="00835440"/>
    <w:rsid w:val="00840BA5"/>
    <w:rsid w:val="00840DCF"/>
    <w:rsid w:val="0084125A"/>
    <w:rsid w:val="008412E8"/>
    <w:rsid w:val="00842429"/>
    <w:rsid w:val="00843607"/>
    <w:rsid w:val="00843ABD"/>
    <w:rsid w:val="00843EC0"/>
    <w:rsid w:val="00845B32"/>
    <w:rsid w:val="00850221"/>
    <w:rsid w:val="00851384"/>
    <w:rsid w:val="008520B7"/>
    <w:rsid w:val="00852351"/>
    <w:rsid w:val="00852C23"/>
    <w:rsid w:val="0085442B"/>
    <w:rsid w:val="00854480"/>
    <w:rsid w:val="00855D95"/>
    <w:rsid w:val="00856858"/>
    <w:rsid w:val="00857637"/>
    <w:rsid w:val="0086225E"/>
    <w:rsid w:val="00862E2F"/>
    <w:rsid w:val="008650CD"/>
    <w:rsid w:val="008665E5"/>
    <w:rsid w:val="00866880"/>
    <w:rsid w:val="0086736F"/>
    <w:rsid w:val="008703B1"/>
    <w:rsid w:val="00870738"/>
    <w:rsid w:val="008719D5"/>
    <w:rsid w:val="00872191"/>
    <w:rsid w:val="008733E4"/>
    <w:rsid w:val="00873CD4"/>
    <w:rsid w:val="00875004"/>
    <w:rsid w:val="0087520A"/>
    <w:rsid w:val="008768A0"/>
    <w:rsid w:val="0088078F"/>
    <w:rsid w:val="00881F21"/>
    <w:rsid w:val="00884BDF"/>
    <w:rsid w:val="00886F17"/>
    <w:rsid w:val="00887C3F"/>
    <w:rsid w:val="00892486"/>
    <w:rsid w:val="0089374F"/>
    <w:rsid w:val="00894D16"/>
    <w:rsid w:val="008959B1"/>
    <w:rsid w:val="00897408"/>
    <w:rsid w:val="008A294C"/>
    <w:rsid w:val="008A363B"/>
    <w:rsid w:val="008A521F"/>
    <w:rsid w:val="008A524A"/>
    <w:rsid w:val="008A54ED"/>
    <w:rsid w:val="008A5F71"/>
    <w:rsid w:val="008B0022"/>
    <w:rsid w:val="008B48F7"/>
    <w:rsid w:val="008B4A33"/>
    <w:rsid w:val="008B71A2"/>
    <w:rsid w:val="008B7C1D"/>
    <w:rsid w:val="008C00BB"/>
    <w:rsid w:val="008C0245"/>
    <w:rsid w:val="008C0A9F"/>
    <w:rsid w:val="008C1C07"/>
    <w:rsid w:val="008C2F51"/>
    <w:rsid w:val="008C35A8"/>
    <w:rsid w:val="008C53DC"/>
    <w:rsid w:val="008D04E4"/>
    <w:rsid w:val="008D0A23"/>
    <w:rsid w:val="008D2909"/>
    <w:rsid w:val="008D4207"/>
    <w:rsid w:val="008D4574"/>
    <w:rsid w:val="008D495F"/>
    <w:rsid w:val="008D4B1D"/>
    <w:rsid w:val="008D67D2"/>
    <w:rsid w:val="008D67FE"/>
    <w:rsid w:val="008E1DD9"/>
    <w:rsid w:val="008E1E61"/>
    <w:rsid w:val="008E22B6"/>
    <w:rsid w:val="008E2E79"/>
    <w:rsid w:val="008E3449"/>
    <w:rsid w:val="008E489C"/>
    <w:rsid w:val="008E690E"/>
    <w:rsid w:val="008E7A7B"/>
    <w:rsid w:val="008F07D4"/>
    <w:rsid w:val="008F0A3F"/>
    <w:rsid w:val="008F101C"/>
    <w:rsid w:val="008F20DA"/>
    <w:rsid w:val="008F2B9C"/>
    <w:rsid w:val="008F4697"/>
    <w:rsid w:val="008F5095"/>
    <w:rsid w:val="008F7012"/>
    <w:rsid w:val="0090212B"/>
    <w:rsid w:val="00902661"/>
    <w:rsid w:val="00903156"/>
    <w:rsid w:val="00903749"/>
    <w:rsid w:val="00904495"/>
    <w:rsid w:val="009067CF"/>
    <w:rsid w:val="00906A2E"/>
    <w:rsid w:val="00906D6E"/>
    <w:rsid w:val="00907277"/>
    <w:rsid w:val="009077F7"/>
    <w:rsid w:val="0090797D"/>
    <w:rsid w:val="00911DFF"/>
    <w:rsid w:val="009127E8"/>
    <w:rsid w:val="00913642"/>
    <w:rsid w:val="00913842"/>
    <w:rsid w:val="00914D53"/>
    <w:rsid w:val="00915C1D"/>
    <w:rsid w:val="00917611"/>
    <w:rsid w:val="00917BD1"/>
    <w:rsid w:val="009241A4"/>
    <w:rsid w:val="00926279"/>
    <w:rsid w:val="009266B2"/>
    <w:rsid w:val="009304B0"/>
    <w:rsid w:val="00930987"/>
    <w:rsid w:val="00930B72"/>
    <w:rsid w:val="009320E1"/>
    <w:rsid w:val="0093255D"/>
    <w:rsid w:val="009332B2"/>
    <w:rsid w:val="009358CC"/>
    <w:rsid w:val="009364D6"/>
    <w:rsid w:val="009379A9"/>
    <w:rsid w:val="00937EAC"/>
    <w:rsid w:val="0094072E"/>
    <w:rsid w:val="00940A57"/>
    <w:rsid w:val="00942477"/>
    <w:rsid w:val="00943DD3"/>
    <w:rsid w:val="009450DB"/>
    <w:rsid w:val="00946535"/>
    <w:rsid w:val="00951039"/>
    <w:rsid w:val="00954461"/>
    <w:rsid w:val="00954AF5"/>
    <w:rsid w:val="009558ED"/>
    <w:rsid w:val="009575E2"/>
    <w:rsid w:val="00960F25"/>
    <w:rsid w:val="009613AB"/>
    <w:rsid w:val="0096167F"/>
    <w:rsid w:val="009627F1"/>
    <w:rsid w:val="0096309E"/>
    <w:rsid w:val="009631C2"/>
    <w:rsid w:val="00963AB0"/>
    <w:rsid w:val="00965D8A"/>
    <w:rsid w:val="00966138"/>
    <w:rsid w:val="00970B39"/>
    <w:rsid w:val="009752CB"/>
    <w:rsid w:val="0097747B"/>
    <w:rsid w:val="00977F49"/>
    <w:rsid w:val="009806F4"/>
    <w:rsid w:val="00980AF9"/>
    <w:rsid w:val="00983018"/>
    <w:rsid w:val="00983740"/>
    <w:rsid w:val="00983988"/>
    <w:rsid w:val="0098695F"/>
    <w:rsid w:val="009909AE"/>
    <w:rsid w:val="00993607"/>
    <w:rsid w:val="00994219"/>
    <w:rsid w:val="00995EC8"/>
    <w:rsid w:val="00996BD6"/>
    <w:rsid w:val="009A1B8E"/>
    <w:rsid w:val="009A2D1D"/>
    <w:rsid w:val="009A3FC9"/>
    <w:rsid w:val="009A574A"/>
    <w:rsid w:val="009A5BD1"/>
    <w:rsid w:val="009A7386"/>
    <w:rsid w:val="009B152F"/>
    <w:rsid w:val="009B1C03"/>
    <w:rsid w:val="009B320E"/>
    <w:rsid w:val="009B3467"/>
    <w:rsid w:val="009B38EE"/>
    <w:rsid w:val="009B3D7C"/>
    <w:rsid w:val="009B54AE"/>
    <w:rsid w:val="009B62C5"/>
    <w:rsid w:val="009B7EFA"/>
    <w:rsid w:val="009C0D73"/>
    <w:rsid w:val="009C0D93"/>
    <w:rsid w:val="009C1CBF"/>
    <w:rsid w:val="009C5D60"/>
    <w:rsid w:val="009C6C05"/>
    <w:rsid w:val="009C6CDB"/>
    <w:rsid w:val="009D01DE"/>
    <w:rsid w:val="009D057B"/>
    <w:rsid w:val="009D0C28"/>
    <w:rsid w:val="009D0DEE"/>
    <w:rsid w:val="009D1164"/>
    <w:rsid w:val="009D30CA"/>
    <w:rsid w:val="009D6210"/>
    <w:rsid w:val="009D673F"/>
    <w:rsid w:val="009D69A3"/>
    <w:rsid w:val="009D72AB"/>
    <w:rsid w:val="009E0BE1"/>
    <w:rsid w:val="009E21A9"/>
    <w:rsid w:val="009E5D98"/>
    <w:rsid w:val="009E7384"/>
    <w:rsid w:val="009F04BE"/>
    <w:rsid w:val="009F0A33"/>
    <w:rsid w:val="009F2DA7"/>
    <w:rsid w:val="009F305F"/>
    <w:rsid w:val="009F3122"/>
    <w:rsid w:val="009F3AB8"/>
    <w:rsid w:val="009F5D3A"/>
    <w:rsid w:val="009F65E7"/>
    <w:rsid w:val="00A01900"/>
    <w:rsid w:val="00A01B7B"/>
    <w:rsid w:val="00A02108"/>
    <w:rsid w:val="00A02C80"/>
    <w:rsid w:val="00A04723"/>
    <w:rsid w:val="00A07F0F"/>
    <w:rsid w:val="00A11810"/>
    <w:rsid w:val="00A1229E"/>
    <w:rsid w:val="00A12D24"/>
    <w:rsid w:val="00A20DAD"/>
    <w:rsid w:val="00A2180B"/>
    <w:rsid w:val="00A21EAA"/>
    <w:rsid w:val="00A222BF"/>
    <w:rsid w:val="00A22B8F"/>
    <w:rsid w:val="00A23BBB"/>
    <w:rsid w:val="00A249F4"/>
    <w:rsid w:val="00A25D05"/>
    <w:rsid w:val="00A2798A"/>
    <w:rsid w:val="00A3014A"/>
    <w:rsid w:val="00A32215"/>
    <w:rsid w:val="00A322E4"/>
    <w:rsid w:val="00A33327"/>
    <w:rsid w:val="00A346E2"/>
    <w:rsid w:val="00A36B8B"/>
    <w:rsid w:val="00A408E7"/>
    <w:rsid w:val="00A41289"/>
    <w:rsid w:val="00A41724"/>
    <w:rsid w:val="00A42E16"/>
    <w:rsid w:val="00A4592D"/>
    <w:rsid w:val="00A47F59"/>
    <w:rsid w:val="00A50A5C"/>
    <w:rsid w:val="00A5178B"/>
    <w:rsid w:val="00A522FB"/>
    <w:rsid w:val="00A52E44"/>
    <w:rsid w:val="00A52E97"/>
    <w:rsid w:val="00A53603"/>
    <w:rsid w:val="00A5464D"/>
    <w:rsid w:val="00A56A07"/>
    <w:rsid w:val="00A56BE3"/>
    <w:rsid w:val="00A6066B"/>
    <w:rsid w:val="00A60BA6"/>
    <w:rsid w:val="00A61509"/>
    <w:rsid w:val="00A625AA"/>
    <w:rsid w:val="00A65696"/>
    <w:rsid w:val="00A6623E"/>
    <w:rsid w:val="00A67A45"/>
    <w:rsid w:val="00A70536"/>
    <w:rsid w:val="00A708BD"/>
    <w:rsid w:val="00A712E2"/>
    <w:rsid w:val="00A71314"/>
    <w:rsid w:val="00A75A93"/>
    <w:rsid w:val="00A76D32"/>
    <w:rsid w:val="00A76DB3"/>
    <w:rsid w:val="00A82755"/>
    <w:rsid w:val="00A82DD9"/>
    <w:rsid w:val="00A83000"/>
    <w:rsid w:val="00A83EC4"/>
    <w:rsid w:val="00A87572"/>
    <w:rsid w:val="00A914B0"/>
    <w:rsid w:val="00A95151"/>
    <w:rsid w:val="00A95C1B"/>
    <w:rsid w:val="00A96DED"/>
    <w:rsid w:val="00A9776A"/>
    <w:rsid w:val="00A97C43"/>
    <w:rsid w:val="00A97F23"/>
    <w:rsid w:val="00AA071C"/>
    <w:rsid w:val="00AA1EA5"/>
    <w:rsid w:val="00AA225F"/>
    <w:rsid w:val="00AA344A"/>
    <w:rsid w:val="00AA4ABF"/>
    <w:rsid w:val="00AA5E13"/>
    <w:rsid w:val="00AB05FE"/>
    <w:rsid w:val="00AB0D8D"/>
    <w:rsid w:val="00AB0DC1"/>
    <w:rsid w:val="00AB1016"/>
    <w:rsid w:val="00AB12D3"/>
    <w:rsid w:val="00AB17AB"/>
    <w:rsid w:val="00AB366D"/>
    <w:rsid w:val="00AB3676"/>
    <w:rsid w:val="00AB3912"/>
    <w:rsid w:val="00AB4F7D"/>
    <w:rsid w:val="00AB67B6"/>
    <w:rsid w:val="00AC05DD"/>
    <w:rsid w:val="00AC1C20"/>
    <w:rsid w:val="00AC4046"/>
    <w:rsid w:val="00AC6E00"/>
    <w:rsid w:val="00AD0D46"/>
    <w:rsid w:val="00AD0EFC"/>
    <w:rsid w:val="00AD3061"/>
    <w:rsid w:val="00AD4415"/>
    <w:rsid w:val="00AD47B2"/>
    <w:rsid w:val="00AD4AA0"/>
    <w:rsid w:val="00AD4EDF"/>
    <w:rsid w:val="00AD6105"/>
    <w:rsid w:val="00AD7F23"/>
    <w:rsid w:val="00AE13CC"/>
    <w:rsid w:val="00AE16DA"/>
    <w:rsid w:val="00AE2E7A"/>
    <w:rsid w:val="00AE31E1"/>
    <w:rsid w:val="00AE45A5"/>
    <w:rsid w:val="00AE4849"/>
    <w:rsid w:val="00AE48E2"/>
    <w:rsid w:val="00AE524F"/>
    <w:rsid w:val="00AE56AA"/>
    <w:rsid w:val="00AE5D66"/>
    <w:rsid w:val="00AE61BF"/>
    <w:rsid w:val="00AE744F"/>
    <w:rsid w:val="00AE7AC1"/>
    <w:rsid w:val="00AF2B4A"/>
    <w:rsid w:val="00AF3257"/>
    <w:rsid w:val="00AF3E03"/>
    <w:rsid w:val="00AF4000"/>
    <w:rsid w:val="00AF4A07"/>
    <w:rsid w:val="00AF4BB3"/>
    <w:rsid w:val="00AF4DFD"/>
    <w:rsid w:val="00AF4F05"/>
    <w:rsid w:val="00B00602"/>
    <w:rsid w:val="00B0244C"/>
    <w:rsid w:val="00B03502"/>
    <w:rsid w:val="00B04089"/>
    <w:rsid w:val="00B108DA"/>
    <w:rsid w:val="00B10BAF"/>
    <w:rsid w:val="00B11B74"/>
    <w:rsid w:val="00B11F36"/>
    <w:rsid w:val="00B128DD"/>
    <w:rsid w:val="00B13047"/>
    <w:rsid w:val="00B13B06"/>
    <w:rsid w:val="00B15882"/>
    <w:rsid w:val="00B15AC1"/>
    <w:rsid w:val="00B16EA3"/>
    <w:rsid w:val="00B22789"/>
    <w:rsid w:val="00B23C4E"/>
    <w:rsid w:val="00B257F9"/>
    <w:rsid w:val="00B264C3"/>
    <w:rsid w:val="00B27E8B"/>
    <w:rsid w:val="00B300F1"/>
    <w:rsid w:val="00B30640"/>
    <w:rsid w:val="00B31B92"/>
    <w:rsid w:val="00B4023A"/>
    <w:rsid w:val="00B4025F"/>
    <w:rsid w:val="00B412E3"/>
    <w:rsid w:val="00B41D8E"/>
    <w:rsid w:val="00B41EA8"/>
    <w:rsid w:val="00B42A28"/>
    <w:rsid w:val="00B43004"/>
    <w:rsid w:val="00B43220"/>
    <w:rsid w:val="00B434A2"/>
    <w:rsid w:val="00B450DF"/>
    <w:rsid w:val="00B45752"/>
    <w:rsid w:val="00B45AF3"/>
    <w:rsid w:val="00B47C65"/>
    <w:rsid w:val="00B47EDE"/>
    <w:rsid w:val="00B54FFF"/>
    <w:rsid w:val="00B55A71"/>
    <w:rsid w:val="00B56F34"/>
    <w:rsid w:val="00B6394D"/>
    <w:rsid w:val="00B66A78"/>
    <w:rsid w:val="00B7158F"/>
    <w:rsid w:val="00B765BA"/>
    <w:rsid w:val="00B771FC"/>
    <w:rsid w:val="00B8209D"/>
    <w:rsid w:val="00B8229F"/>
    <w:rsid w:val="00B82ADC"/>
    <w:rsid w:val="00B833BB"/>
    <w:rsid w:val="00B84690"/>
    <w:rsid w:val="00B848A9"/>
    <w:rsid w:val="00B84A6B"/>
    <w:rsid w:val="00B85563"/>
    <w:rsid w:val="00B863E0"/>
    <w:rsid w:val="00B90DB7"/>
    <w:rsid w:val="00B917EC"/>
    <w:rsid w:val="00B918BE"/>
    <w:rsid w:val="00B92587"/>
    <w:rsid w:val="00B925B0"/>
    <w:rsid w:val="00B929BB"/>
    <w:rsid w:val="00B9342A"/>
    <w:rsid w:val="00B93496"/>
    <w:rsid w:val="00B93702"/>
    <w:rsid w:val="00B941C7"/>
    <w:rsid w:val="00B94358"/>
    <w:rsid w:val="00B952DF"/>
    <w:rsid w:val="00B955B6"/>
    <w:rsid w:val="00B95623"/>
    <w:rsid w:val="00B95753"/>
    <w:rsid w:val="00B9680E"/>
    <w:rsid w:val="00B97755"/>
    <w:rsid w:val="00BA208F"/>
    <w:rsid w:val="00BA4FEB"/>
    <w:rsid w:val="00BA5B58"/>
    <w:rsid w:val="00BA6E64"/>
    <w:rsid w:val="00BB07A2"/>
    <w:rsid w:val="00BB0D56"/>
    <w:rsid w:val="00BB207B"/>
    <w:rsid w:val="00BB257A"/>
    <w:rsid w:val="00BB2FBC"/>
    <w:rsid w:val="00BB5638"/>
    <w:rsid w:val="00BB62CD"/>
    <w:rsid w:val="00BC0613"/>
    <w:rsid w:val="00BC0719"/>
    <w:rsid w:val="00BC1869"/>
    <w:rsid w:val="00BC3D15"/>
    <w:rsid w:val="00BC4853"/>
    <w:rsid w:val="00BC608F"/>
    <w:rsid w:val="00BC61D4"/>
    <w:rsid w:val="00BC7254"/>
    <w:rsid w:val="00BC782A"/>
    <w:rsid w:val="00BC79C2"/>
    <w:rsid w:val="00BD04EA"/>
    <w:rsid w:val="00BD751C"/>
    <w:rsid w:val="00BE16E1"/>
    <w:rsid w:val="00BE4956"/>
    <w:rsid w:val="00BE566D"/>
    <w:rsid w:val="00BE5ABF"/>
    <w:rsid w:val="00BE622E"/>
    <w:rsid w:val="00BF0A79"/>
    <w:rsid w:val="00BF0FD5"/>
    <w:rsid w:val="00BF1ED6"/>
    <w:rsid w:val="00BF23FD"/>
    <w:rsid w:val="00BF282C"/>
    <w:rsid w:val="00BF314B"/>
    <w:rsid w:val="00BF3203"/>
    <w:rsid w:val="00BF37E5"/>
    <w:rsid w:val="00BF3D42"/>
    <w:rsid w:val="00BF5279"/>
    <w:rsid w:val="00BF5641"/>
    <w:rsid w:val="00BF59AE"/>
    <w:rsid w:val="00BF6344"/>
    <w:rsid w:val="00BF63AF"/>
    <w:rsid w:val="00C0197C"/>
    <w:rsid w:val="00C05F24"/>
    <w:rsid w:val="00C06F07"/>
    <w:rsid w:val="00C073A4"/>
    <w:rsid w:val="00C10CC8"/>
    <w:rsid w:val="00C144D2"/>
    <w:rsid w:val="00C1583C"/>
    <w:rsid w:val="00C1597C"/>
    <w:rsid w:val="00C16283"/>
    <w:rsid w:val="00C16BB3"/>
    <w:rsid w:val="00C16E87"/>
    <w:rsid w:val="00C172FA"/>
    <w:rsid w:val="00C17AEA"/>
    <w:rsid w:val="00C17C13"/>
    <w:rsid w:val="00C20210"/>
    <w:rsid w:val="00C2088F"/>
    <w:rsid w:val="00C20A1D"/>
    <w:rsid w:val="00C20B35"/>
    <w:rsid w:val="00C20C5D"/>
    <w:rsid w:val="00C217A4"/>
    <w:rsid w:val="00C22961"/>
    <w:rsid w:val="00C229AA"/>
    <w:rsid w:val="00C233E3"/>
    <w:rsid w:val="00C23508"/>
    <w:rsid w:val="00C24C3A"/>
    <w:rsid w:val="00C272FA"/>
    <w:rsid w:val="00C30D97"/>
    <w:rsid w:val="00C31852"/>
    <w:rsid w:val="00C3227B"/>
    <w:rsid w:val="00C3376A"/>
    <w:rsid w:val="00C3443E"/>
    <w:rsid w:val="00C34BB7"/>
    <w:rsid w:val="00C3578B"/>
    <w:rsid w:val="00C370A0"/>
    <w:rsid w:val="00C4050F"/>
    <w:rsid w:val="00C422DE"/>
    <w:rsid w:val="00C478A1"/>
    <w:rsid w:val="00C50108"/>
    <w:rsid w:val="00C5345E"/>
    <w:rsid w:val="00C54665"/>
    <w:rsid w:val="00C60B10"/>
    <w:rsid w:val="00C60DA4"/>
    <w:rsid w:val="00C61F52"/>
    <w:rsid w:val="00C62AFE"/>
    <w:rsid w:val="00C6356A"/>
    <w:rsid w:val="00C63B60"/>
    <w:rsid w:val="00C64B36"/>
    <w:rsid w:val="00C64CD9"/>
    <w:rsid w:val="00C65490"/>
    <w:rsid w:val="00C70785"/>
    <w:rsid w:val="00C7088F"/>
    <w:rsid w:val="00C72814"/>
    <w:rsid w:val="00C731D0"/>
    <w:rsid w:val="00C73234"/>
    <w:rsid w:val="00C737A7"/>
    <w:rsid w:val="00C7396F"/>
    <w:rsid w:val="00C74AB8"/>
    <w:rsid w:val="00C776C2"/>
    <w:rsid w:val="00C77C84"/>
    <w:rsid w:val="00C81300"/>
    <w:rsid w:val="00C8228A"/>
    <w:rsid w:val="00C85B3D"/>
    <w:rsid w:val="00C85ED9"/>
    <w:rsid w:val="00C860EB"/>
    <w:rsid w:val="00C872B4"/>
    <w:rsid w:val="00C8773C"/>
    <w:rsid w:val="00C87752"/>
    <w:rsid w:val="00C87972"/>
    <w:rsid w:val="00C9022F"/>
    <w:rsid w:val="00C927CC"/>
    <w:rsid w:val="00C9440B"/>
    <w:rsid w:val="00C94C42"/>
    <w:rsid w:val="00C971E6"/>
    <w:rsid w:val="00CA03D4"/>
    <w:rsid w:val="00CA0BF2"/>
    <w:rsid w:val="00CA165B"/>
    <w:rsid w:val="00CA171B"/>
    <w:rsid w:val="00CA1B40"/>
    <w:rsid w:val="00CA62EB"/>
    <w:rsid w:val="00CA6F6E"/>
    <w:rsid w:val="00CA7550"/>
    <w:rsid w:val="00CB07C8"/>
    <w:rsid w:val="00CB28D4"/>
    <w:rsid w:val="00CB2A2D"/>
    <w:rsid w:val="00CB2E37"/>
    <w:rsid w:val="00CB3215"/>
    <w:rsid w:val="00CB457E"/>
    <w:rsid w:val="00CB5B95"/>
    <w:rsid w:val="00CB5C71"/>
    <w:rsid w:val="00CB6982"/>
    <w:rsid w:val="00CB7151"/>
    <w:rsid w:val="00CC09BC"/>
    <w:rsid w:val="00CC312A"/>
    <w:rsid w:val="00CC3839"/>
    <w:rsid w:val="00CC4168"/>
    <w:rsid w:val="00CC4907"/>
    <w:rsid w:val="00CC545C"/>
    <w:rsid w:val="00CC6072"/>
    <w:rsid w:val="00CD00BF"/>
    <w:rsid w:val="00CD0F65"/>
    <w:rsid w:val="00CD1B77"/>
    <w:rsid w:val="00CD2CFC"/>
    <w:rsid w:val="00CD300C"/>
    <w:rsid w:val="00CD3121"/>
    <w:rsid w:val="00CD44BA"/>
    <w:rsid w:val="00CD49D3"/>
    <w:rsid w:val="00CD4D86"/>
    <w:rsid w:val="00CD75A1"/>
    <w:rsid w:val="00CE0D38"/>
    <w:rsid w:val="00CE170D"/>
    <w:rsid w:val="00CE22BA"/>
    <w:rsid w:val="00CE281A"/>
    <w:rsid w:val="00CE345F"/>
    <w:rsid w:val="00CE36D2"/>
    <w:rsid w:val="00CE38C9"/>
    <w:rsid w:val="00CE47C0"/>
    <w:rsid w:val="00CE66B5"/>
    <w:rsid w:val="00CE7CC7"/>
    <w:rsid w:val="00CF05BC"/>
    <w:rsid w:val="00CF088D"/>
    <w:rsid w:val="00CF2B80"/>
    <w:rsid w:val="00CF2FB0"/>
    <w:rsid w:val="00CF54F6"/>
    <w:rsid w:val="00CF62EE"/>
    <w:rsid w:val="00D0086F"/>
    <w:rsid w:val="00D02019"/>
    <w:rsid w:val="00D05479"/>
    <w:rsid w:val="00D06AE6"/>
    <w:rsid w:val="00D11D53"/>
    <w:rsid w:val="00D12098"/>
    <w:rsid w:val="00D1317E"/>
    <w:rsid w:val="00D143C0"/>
    <w:rsid w:val="00D15F46"/>
    <w:rsid w:val="00D171E3"/>
    <w:rsid w:val="00D2243D"/>
    <w:rsid w:val="00D22B75"/>
    <w:rsid w:val="00D236A1"/>
    <w:rsid w:val="00D25497"/>
    <w:rsid w:val="00D254C6"/>
    <w:rsid w:val="00D2564A"/>
    <w:rsid w:val="00D25FB3"/>
    <w:rsid w:val="00D268B1"/>
    <w:rsid w:val="00D275F0"/>
    <w:rsid w:val="00D27B45"/>
    <w:rsid w:val="00D3185C"/>
    <w:rsid w:val="00D31D30"/>
    <w:rsid w:val="00D32C48"/>
    <w:rsid w:val="00D33032"/>
    <w:rsid w:val="00D34CFE"/>
    <w:rsid w:val="00D36B92"/>
    <w:rsid w:val="00D37FF4"/>
    <w:rsid w:val="00D41484"/>
    <w:rsid w:val="00D4182F"/>
    <w:rsid w:val="00D41B4A"/>
    <w:rsid w:val="00D43AE6"/>
    <w:rsid w:val="00D447E3"/>
    <w:rsid w:val="00D44923"/>
    <w:rsid w:val="00D44A1C"/>
    <w:rsid w:val="00D44B4E"/>
    <w:rsid w:val="00D4600B"/>
    <w:rsid w:val="00D461E0"/>
    <w:rsid w:val="00D5107B"/>
    <w:rsid w:val="00D5136A"/>
    <w:rsid w:val="00D54094"/>
    <w:rsid w:val="00D545D0"/>
    <w:rsid w:val="00D54B07"/>
    <w:rsid w:val="00D553CD"/>
    <w:rsid w:val="00D554E2"/>
    <w:rsid w:val="00D5653B"/>
    <w:rsid w:val="00D5699F"/>
    <w:rsid w:val="00D572BB"/>
    <w:rsid w:val="00D60D5C"/>
    <w:rsid w:val="00D61F88"/>
    <w:rsid w:val="00D62819"/>
    <w:rsid w:val="00D643CD"/>
    <w:rsid w:val="00D64DBA"/>
    <w:rsid w:val="00D67897"/>
    <w:rsid w:val="00D720EA"/>
    <w:rsid w:val="00D72A65"/>
    <w:rsid w:val="00D72CF3"/>
    <w:rsid w:val="00D770D4"/>
    <w:rsid w:val="00D8065A"/>
    <w:rsid w:val="00D839C6"/>
    <w:rsid w:val="00D86032"/>
    <w:rsid w:val="00D87D69"/>
    <w:rsid w:val="00D903B3"/>
    <w:rsid w:val="00D90859"/>
    <w:rsid w:val="00D930C9"/>
    <w:rsid w:val="00D93BB5"/>
    <w:rsid w:val="00D95A89"/>
    <w:rsid w:val="00D9686A"/>
    <w:rsid w:val="00D96E0C"/>
    <w:rsid w:val="00D97463"/>
    <w:rsid w:val="00D974EE"/>
    <w:rsid w:val="00DA11AF"/>
    <w:rsid w:val="00DA159D"/>
    <w:rsid w:val="00DA220E"/>
    <w:rsid w:val="00DA2DF3"/>
    <w:rsid w:val="00DA3F6A"/>
    <w:rsid w:val="00DA596D"/>
    <w:rsid w:val="00DA71D7"/>
    <w:rsid w:val="00DA7761"/>
    <w:rsid w:val="00DB1FCD"/>
    <w:rsid w:val="00DB2EF6"/>
    <w:rsid w:val="00DB2FD8"/>
    <w:rsid w:val="00DB3CF8"/>
    <w:rsid w:val="00DB4A86"/>
    <w:rsid w:val="00DB4CB0"/>
    <w:rsid w:val="00DB4E60"/>
    <w:rsid w:val="00DB5ACB"/>
    <w:rsid w:val="00DB5E79"/>
    <w:rsid w:val="00DB71BE"/>
    <w:rsid w:val="00DB7DBC"/>
    <w:rsid w:val="00DC0565"/>
    <w:rsid w:val="00DC23C2"/>
    <w:rsid w:val="00DC2436"/>
    <w:rsid w:val="00DC4BB1"/>
    <w:rsid w:val="00DC5255"/>
    <w:rsid w:val="00DC5C92"/>
    <w:rsid w:val="00DC5CFD"/>
    <w:rsid w:val="00DD0A75"/>
    <w:rsid w:val="00DD1886"/>
    <w:rsid w:val="00DD1F7C"/>
    <w:rsid w:val="00DD2E97"/>
    <w:rsid w:val="00DD4CA1"/>
    <w:rsid w:val="00DD654A"/>
    <w:rsid w:val="00DE26AA"/>
    <w:rsid w:val="00DE405E"/>
    <w:rsid w:val="00DE729A"/>
    <w:rsid w:val="00DE7FCF"/>
    <w:rsid w:val="00DF0703"/>
    <w:rsid w:val="00DF1593"/>
    <w:rsid w:val="00DF26AA"/>
    <w:rsid w:val="00DF3616"/>
    <w:rsid w:val="00DF5AF4"/>
    <w:rsid w:val="00E01D5F"/>
    <w:rsid w:val="00E0225B"/>
    <w:rsid w:val="00E035BE"/>
    <w:rsid w:val="00E046CF"/>
    <w:rsid w:val="00E04F4A"/>
    <w:rsid w:val="00E054B8"/>
    <w:rsid w:val="00E10FEC"/>
    <w:rsid w:val="00E11A82"/>
    <w:rsid w:val="00E15720"/>
    <w:rsid w:val="00E16B50"/>
    <w:rsid w:val="00E171FB"/>
    <w:rsid w:val="00E20ED3"/>
    <w:rsid w:val="00E20F13"/>
    <w:rsid w:val="00E231B0"/>
    <w:rsid w:val="00E24321"/>
    <w:rsid w:val="00E24335"/>
    <w:rsid w:val="00E24C54"/>
    <w:rsid w:val="00E258EF"/>
    <w:rsid w:val="00E25B5F"/>
    <w:rsid w:val="00E2672F"/>
    <w:rsid w:val="00E2747E"/>
    <w:rsid w:val="00E30371"/>
    <w:rsid w:val="00E30740"/>
    <w:rsid w:val="00E3118E"/>
    <w:rsid w:val="00E3129D"/>
    <w:rsid w:val="00E322D4"/>
    <w:rsid w:val="00E331F5"/>
    <w:rsid w:val="00E33F5A"/>
    <w:rsid w:val="00E34166"/>
    <w:rsid w:val="00E348F0"/>
    <w:rsid w:val="00E37063"/>
    <w:rsid w:val="00E427AE"/>
    <w:rsid w:val="00E43677"/>
    <w:rsid w:val="00E47E9C"/>
    <w:rsid w:val="00E50CD4"/>
    <w:rsid w:val="00E52010"/>
    <w:rsid w:val="00E53E4D"/>
    <w:rsid w:val="00E54AEE"/>
    <w:rsid w:val="00E54BAF"/>
    <w:rsid w:val="00E57C67"/>
    <w:rsid w:val="00E67704"/>
    <w:rsid w:val="00E67A3D"/>
    <w:rsid w:val="00E709C1"/>
    <w:rsid w:val="00E70D8A"/>
    <w:rsid w:val="00E710D5"/>
    <w:rsid w:val="00E71410"/>
    <w:rsid w:val="00E71698"/>
    <w:rsid w:val="00E755AD"/>
    <w:rsid w:val="00E75B7D"/>
    <w:rsid w:val="00E77E67"/>
    <w:rsid w:val="00E80A03"/>
    <w:rsid w:val="00E82563"/>
    <w:rsid w:val="00E82B19"/>
    <w:rsid w:val="00E83412"/>
    <w:rsid w:val="00E836BF"/>
    <w:rsid w:val="00E838BF"/>
    <w:rsid w:val="00E84CB4"/>
    <w:rsid w:val="00E85089"/>
    <w:rsid w:val="00E87371"/>
    <w:rsid w:val="00E90F5A"/>
    <w:rsid w:val="00E92241"/>
    <w:rsid w:val="00E92266"/>
    <w:rsid w:val="00E94F28"/>
    <w:rsid w:val="00E95C98"/>
    <w:rsid w:val="00EA19FC"/>
    <w:rsid w:val="00EA1BF2"/>
    <w:rsid w:val="00EA2251"/>
    <w:rsid w:val="00EA3D6C"/>
    <w:rsid w:val="00EA4B1E"/>
    <w:rsid w:val="00EA4D3D"/>
    <w:rsid w:val="00EA5578"/>
    <w:rsid w:val="00EA66FF"/>
    <w:rsid w:val="00EA7009"/>
    <w:rsid w:val="00EB0E68"/>
    <w:rsid w:val="00EB14BB"/>
    <w:rsid w:val="00EB1AFE"/>
    <w:rsid w:val="00EB24D5"/>
    <w:rsid w:val="00EB24FF"/>
    <w:rsid w:val="00EB339D"/>
    <w:rsid w:val="00EB39D5"/>
    <w:rsid w:val="00EC0CCC"/>
    <w:rsid w:val="00EC339F"/>
    <w:rsid w:val="00EC42B6"/>
    <w:rsid w:val="00EC4D5E"/>
    <w:rsid w:val="00EC7002"/>
    <w:rsid w:val="00EC78C9"/>
    <w:rsid w:val="00EC7D41"/>
    <w:rsid w:val="00EC7DFA"/>
    <w:rsid w:val="00ED08D0"/>
    <w:rsid w:val="00ED1531"/>
    <w:rsid w:val="00ED1787"/>
    <w:rsid w:val="00ED2513"/>
    <w:rsid w:val="00ED2E86"/>
    <w:rsid w:val="00ED388A"/>
    <w:rsid w:val="00ED3A4B"/>
    <w:rsid w:val="00ED4E28"/>
    <w:rsid w:val="00ED608A"/>
    <w:rsid w:val="00ED69D9"/>
    <w:rsid w:val="00ED6DEF"/>
    <w:rsid w:val="00ED78CC"/>
    <w:rsid w:val="00ED7BAE"/>
    <w:rsid w:val="00EE12E5"/>
    <w:rsid w:val="00EE1BDD"/>
    <w:rsid w:val="00EE5E09"/>
    <w:rsid w:val="00EE62C5"/>
    <w:rsid w:val="00EE6F4B"/>
    <w:rsid w:val="00EE7922"/>
    <w:rsid w:val="00EF1610"/>
    <w:rsid w:val="00EF3849"/>
    <w:rsid w:val="00EF481E"/>
    <w:rsid w:val="00EF512B"/>
    <w:rsid w:val="00EF5655"/>
    <w:rsid w:val="00EF5D73"/>
    <w:rsid w:val="00EF6C4A"/>
    <w:rsid w:val="00EF7F9E"/>
    <w:rsid w:val="00F00956"/>
    <w:rsid w:val="00F01DB7"/>
    <w:rsid w:val="00F01E74"/>
    <w:rsid w:val="00F0244D"/>
    <w:rsid w:val="00F049D1"/>
    <w:rsid w:val="00F04B8B"/>
    <w:rsid w:val="00F04C38"/>
    <w:rsid w:val="00F05BDE"/>
    <w:rsid w:val="00F10A62"/>
    <w:rsid w:val="00F1114E"/>
    <w:rsid w:val="00F11551"/>
    <w:rsid w:val="00F11800"/>
    <w:rsid w:val="00F11E06"/>
    <w:rsid w:val="00F11F9C"/>
    <w:rsid w:val="00F13E0B"/>
    <w:rsid w:val="00F153DA"/>
    <w:rsid w:val="00F1716E"/>
    <w:rsid w:val="00F2120B"/>
    <w:rsid w:val="00F22350"/>
    <w:rsid w:val="00F25724"/>
    <w:rsid w:val="00F2689C"/>
    <w:rsid w:val="00F27527"/>
    <w:rsid w:val="00F277AB"/>
    <w:rsid w:val="00F3064A"/>
    <w:rsid w:val="00F3520E"/>
    <w:rsid w:val="00F367A7"/>
    <w:rsid w:val="00F36D33"/>
    <w:rsid w:val="00F37D8F"/>
    <w:rsid w:val="00F407F7"/>
    <w:rsid w:val="00F4313B"/>
    <w:rsid w:val="00F43B1F"/>
    <w:rsid w:val="00F44476"/>
    <w:rsid w:val="00F45266"/>
    <w:rsid w:val="00F461E4"/>
    <w:rsid w:val="00F53429"/>
    <w:rsid w:val="00F53B0D"/>
    <w:rsid w:val="00F53D75"/>
    <w:rsid w:val="00F5410F"/>
    <w:rsid w:val="00F544B9"/>
    <w:rsid w:val="00F547BA"/>
    <w:rsid w:val="00F55B01"/>
    <w:rsid w:val="00F56BB0"/>
    <w:rsid w:val="00F6349B"/>
    <w:rsid w:val="00F67412"/>
    <w:rsid w:val="00F67C8C"/>
    <w:rsid w:val="00F70F38"/>
    <w:rsid w:val="00F7138E"/>
    <w:rsid w:val="00F7164D"/>
    <w:rsid w:val="00F7395E"/>
    <w:rsid w:val="00F74114"/>
    <w:rsid w:val="00F758C7"/>
    <w:rsid w:val="00F7774B"/>
    <w:rsid w:val="00F84733"/>
    <w:rsid w:val="00F8581A"/>
    <w:rsid w:val="00F8590C"/>
    <w:rsid w:val="00F87134"/>
    <w:rsid w:val="00F90D0C"/>
    <w:rsid w:val="00F928CC"/>
    <w:rsid w:val="00F94AB7"/>
    <w:rsid w:val="00F977CF"/>
    <w:rsid w:val="00FA02FF"/>
    <w:rsid w:val="00FA164C"/>
    <w:rsid w:val="00FA198E"/>
    <w:rsid w:val="00FA32F0"/>
    <w:rsid w:val="00FA3820"/>
    <w:rsid w:val="00FA38CA"/>
    <w:rsid w:val="00FA39DA"/>
    <w:rsid w:val="00FA3D9B"/>
    <w:rsid w:val="00FA6737"/>
    <w:rsid w:val="00FA7EE3"/>
    <w:rsid w:val="00FA7EE8"/>
    <w:rsid w:val="00FB027A"/>
    <w:rsid w:val="00FB13DC"/>
    <w:rsid w:val="00FB1924"/>
    <w:rsid w:val="00FB3091"/>
    <w:rsid w:val="00FB429F"/>
    <w:rsid w:val="00FB67CA"/>
    <w:rsid w:val="00FB7E1F"/>
    <w:rsid w:val="00FC0D31"/>
    <w:rsid w:val="00FC11FF"/>
    <w:rsid w:val="00FC4B06"/>
    <w:rsid w:val="00FC4F57"/>
    <w:rsid w:val="00FC6F9C"/>
    <w:rsid w:val="00FC7556"/>
    <w:rsid w:val="00FD0937"/>
    <w:rsid w:val="00FD0C1C"/>
    <w:rsid w:val="00FD5308"/>
    <w:rsid w:val="00FD54D2"/>
    <w:rsid w:val="00FD5D4F"/>
    <w:rsid w:val="00FD5F17"/>
    <w:rsid w:val="00FD5F63"/>
    <w:rsid w:val="00FE0952"/>
    <w:rsid w:val="00FE0E12"/>
    <w:rsid w:val="00FE3BB0"/>
    <w:rsid w:val="00FE580E"/>
    <w:rsid w:val="00FE6CD1"/>
    <w:rsid w:val="00FE79A4"/>
    <w:rsid w:val="00FF0521"/>
    <w:rsid w:val="00FF2C87"/>
    <w:rsid w:val="00FF31FA"/>
    <w:rsid w:val="00FF5CA0"/>
    <w:rsid w:val="00FF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0385"/>
  <w15:chartTrackingRefBased/>
  <w15:docId w15:val="{5D32471C-41E7-D345-B9CB-3DD5E75D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610"/>
    <w:rPr>
      <w:rFonts w:ascii="Times New Roman" w:eastAsia="Times New Roman" w:hAnsi="Times New Roman" w:cs="Times New Roman"/>
    </w:rPr>
  </w:style>
  <w:style w:type="paragraph" w:styleId="Heading1">
    <w:name w:val="heading 1"/>
    <w:basedOn w:val="Normal"/>
    <w:link w:val="Heading1Char"/>
    <w:uiPriority w:val="9"/>
    <w:qFormat/>
    <w:rsid w:val="009558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3749"/>
    <w:rPr>
      <w:i/>
      <w:iCs/>
    </w:rPr>
  </w:style>
  <w:style w:type="character" w:styleId="Hyperlink">
    <w:name w:val="Hyperlink"/>
    <w:basedOn w:val="DefaultParagraphFont"/>
    <w:uiPriority w:val="99"/>
    <w:unhideWhenUsed/>
    <w:rsid w:val="00903749"/>
    <w:rPr>
      <w:color w:val="0000FF"/>
      <w:u w:val="single"/>
    </w:rPr>
  </w:style>
  <w:style w:type="paragraph" w:styleId="ListParagraph">
    <w:name w:val="List Paragraph"/>
    <w:basedOn w:val="Normal"/>
    <w:uiPriority w:val="34"/>
    <w:qFormat/>
    <w:rsid w:val="00903749"/>
    <w:pPr>
      <w:ind w:left="720"/>
      <w:contextualSpacing/>
    </w:pPr>
  </w:style>
  <w:style w:type="character" w:styleId="FollowedHyperlink">
    <w:name w:val="FollowedHyperlink"/>
    <w:basedOn w:val="DefaultParagraphFont"/>
    <w:uiPriority w:val="99"/>
    <w:semiHidden/>
    <w:unhideWhenUsed/>
    <w:rsid w:val="00903749"/>
    <w:rPr>
      <w:color w:val="954F72" w:themeColor="followedHyperlink"/>
      <w:u w:val="single"/>
    </w:rPr>
  </w:style>
  <w:style w:type="paragraph" w:styleId="Header">
    <w:name w:val="header"/>
    <w:basedOn w:val="Normal"/>
    <w:link w:val="HeaderChar"/>
    <w:uiPriority w:val="99"/>
    <w:unhideWhenUsed/>
    <w:rsid w:val="00697A86"/>
    <w:pPr>
      <w:tabs>
        <w:tab w:val="center" w:pos="4680"/>
        <w:tab w:val="right" w:pos="9360"/>
      </w:tabs>
    </w:pPr>
  </w:style>
  <w:style w:type="character" w:customStyle="1" w:styleId="HeaderChar">
    <w:name w:val="Header Char"/>
    <w:basedOn w:val="DefaultParagraphFont"/>
    <w:link w:val="Header"/>
    <w:uiPriority w:val="99"/>
    <w:rsid w:val="00697A86"/>
    <w:rPr>
      <w:rFonts w:ascii="Times New Roman" w:eastAsia="Times New Roman" w:hAnsi="Times New Roman" w:cs="Times New Roman"/>
    </w:rPr>
  </w:style>
  <w:style w:type="paragraph" w:styleId="Footer">
    <w:name w:val="footer"/>
    <w:basedOn w:val="Normal"/>
    <w:link w:val="FooterChar"/>
    <w:uiPriority w:val="99"/>
    <w:unhideWhenUsed/>
    <w:rsid w:val="00697A86"/>
    <w:pPr>
      <w:tabs>
        <w:tab w:val="center" w:pos="4680"/>
        <w:tab w:val="right" w:pos="9360"/>
      </w:tabs>
    </w:pPr>
  </w:style>
  <w:style w:type="character" w:customStyle="1" w:styleId="FooterChar">
    <w:name w:val="Footer Char"/>
    <w:basedOn w:val="DefaultParagraphFont"/>
    <w:link w:val="Footer"/>
    <w:uiPriority w:val="99"/>
    <w:rsid w:val="00697A86"/>
    <w:rPr>
      <w:rFonts w:ascii="Times New Roman" w:eastAsia="Times New Roman" w:hAnsi="Times New Roman" w:cs="Times New Roman"/>
    </w:rPr>
  </w:style>
  <w:style w:type="character" w:styleId="PageNumber">
    <w:name w:val="page number"/>
    <w:basedOn w:val="DefaultParagraphFont"/>
    <w:uiPriority w:val="99"/>
    <w:semiHidden/>
    <w:unhideWhenUsed/>
    <w:rsid w:val="00697A86"/>
  </w:style>
  <w:style w:type="character" w:styleId="UnresolvedMention">
    <w:name w:val="Unresolved Mention"/>
    <w:basedOn w:val="DefaultParagraphFont"/>
    <w:uiPriority w:val="99"/>
    <w:semiHidden/>
    <w:unhideWhenUsed/>
    <w:rsid w:val="00697A86"/>
    <w:rPr>
      <w:color w:val="605E5C"/>
      <w:shd w:val="clear" w:color="auto" w:fill="E1DFDD"/>
    </w:rPr>
  </w:style>
  <w:style w:type="character" w:styleId="PlaceholderText">
    <w:name w:val="Placeholder Text"/>
    <w:basedOn w:val="DefaultParagraphFont"/>
    <w:uiPriority w:val="99"/>
    <w:semiHidden/>
    <w:rsid w:val="00232DEE"/>
    <w:rPr>
      <w:color w:val="808080"/>
    </w:rPr>
  </w:style>
  <w:style w:type="paragraph" w:styleId="Revision">
    <w:name w:val="Revision"/>
    <w:hidden/>
    <w:uiPriority w:val="99"/>
    <w:semiHidden/>
    <w:rsid w:val="00FA39D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A39DA"/>
    <w:rPr>
      <w:sz w:val="16"/>
      <w:szCs w:val="16"/>
    </w:rPr>
  </w:style>
  <w:style w:type="paragraph" w:styleId="CommentText">
    <w:name w:val="annotation text"/>
    <w:basedOn w:val="Normal"/>
    <w:link w:val="CommentTextChar"/>
    <w:uiPriority w:val="99"/>
    <w:semiHidden/>
    <w:unhideWhenUsed/>
    <w:rsid w:val="00FA39DA"/>
    <w:rPr>
      <w:sz w:val="20"/>
      <w:szCs w:val="20"/>
    </w:rPr>
  </w:style>
  <w:style w:type="character" w:customStyle="1" w:styleId="CommentTextChar">
    <w:name w:val="Comment Text Char"/>
    <w:basedOn w:val="DefaultParagraphFont"/>
    <w:link w:val="CommentText"/>
    <w:uiPriority w:val="99"/>
    <w:semiHidden/>
    <w:rsid w:val="00FA39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39DA"/>
    <w:rPr>
      <w:b/>
      <w:bCs/>
    </w:rPr>
  </w:style>
  <w:style w:type="character" w:customStyle="1" w:styleId="CommentSubjectChar">
    <w:name w:val="Comment Subject Char"/>
    <w:basedOn w:val="CommentTextChar"/>
    <w:link w:val="CommentSubject"/>
    <w:uiPriority w:val="99"/>
    <w:semiHidden/>
    <w:rsid w:val="00FA39DA"/>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43ABD"/>
    <w:rPr>
      <w:sz w:val="20"/>
      <w:szCs w:val="20"/>
    </w:rPr>
  </w:style>
  <w:style w:type="character" w:customStyle="1" w:styleId="FootnoteTextChar">
    <w:name w:val="Footnote Text Char"/>
    <w:basedOn w:val="DefaultParagraphFont"/>
    <w:link w:val="FootnoteText"/>
    <w:uiPriority w:val="99"/>
    <w:semiHidden/>
    <w:rsid w:val="00843A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3ABD"/>
    <w:rPr>
      <w:vertAlign w:val="superscript"/>
    </w:rPr>
  </w:style>
  <w:style w:type="character" w:customStyle="1" w:styleId="nlmyear">
    <w:name w:val="nlm_year"/>
    <w:basedOn w:val="DefaultParagraphFont"/>
    <w:rsid w:val="0020037C"/>
  </w:style>
  <w:style w:type="character" w:customStyle="1" w:styleId="nlmarticle-title">
    <w:name w:val="nlm_article-title"/>
    <w:basedOn w:val="DefaultParagraphFont"/>
    <w:rsid w:val="0020037C"/>
  </w:style>
  <w:style w:type="character" w:customStyle="1" w:styleId="nlmfpage">
    <w:name w:val="nlm_fpage"/>
    <w:basedOn w:val="DefaultParagraphFont"/>
    <w:rsid w:val="0020037C"/>
  </w:style>
  <w:style w:type="character" w:customStyle="1" w:styleId="nlmlpage">
    <w:name w:val="nlm_lpage"/>
    <w:basedOn w:val="DefaultParagraphFont"/>
    <w:rsid w:val="0020037C"/>
  </w:style>
  <w:style w:type="character" w:customStyle="1" w:styleId="ref-journal">
    <w:name w:val="ref-journal"/>
    <w:basedOn w:val="DefaultParagraphFont"/>
    <w:rsid w:val="00B0244C"/>
  </w:style>
  <w:style w:type="character" w:customStyle="1" w:styleId="ref-vol">
    <w:name w:val="ref-vol"/>
    <w:basedOn w:val="DefaultParagraphFont"/>
    <w:rsid w:val="00B0244C"/>
  </w:style>
  <w:style w:type="character" w:customStyle="1" w:styleId="Heading1Char">
    <w:name w:val="Heading 1 Char"/>
    <w:basedOn w:val="DefaultParagraphFont"/>
    <w:link w:val="Heading1"/>
    <w:uiPriority w:val="9"/>
    <w:rsid w:val="009558ED"/>
    <w:rPr>
      <w:rFonts w:ascii="Times New Roman" w:eastAsia="Times New Roman" w:hAnsi="Times New Roman" w:cs="Times New Roman"/>
      <w:b/>
      <w:bCs/>
      <w:kern w:val="36"/>
      <w:sz w:val="48"/>
      <w:szCs w:val="48"/>
    </w:rPr>
  </w:style>
  <w:style w:type="paragraph" w:customStyle="1" w:styleId="c-article-author-listitem">
    <w:name w:val="c-article-author-list__item"/>
    <w:basedOn w:val="Normal"/>
    <w:rsid w:val="009558ED"/>
    <w:pPr>
      <w:spacing w:before="100" w:beforeAutospacing="1" w:after="100" w:afterAutospacing="1"/>
    </w:pPr>
  </w:style>
  <w:style w:type="paragraph" w:customStyle="1" w:styleId="c-article-info-details">
    <w:name w:val="c-article-info-details"/>
    <w:basedOn w:val="Normal"/>
    <w:rsid w:val="009558ED"/>
    <w:pPr>
      <w:spacing w:before="100" w:beforeAutospacing="1" w:after="100" w:afterAutospacing="1"/>
    </w:pPr>
  </w:style>
  <w:style w:type="character" w:customStyle="1" w:styleId="u-visually-hidden">
    <w:name w:val="u-visually-hidden"/>
    <w:basedOn w:val="DefaultParagraphFont"/>
    <w:rsid w:val="009558ED"/>
  </w:style>
  <w:style w:type="character" w:customStyle="1" w:styleId="contribdegrees">
    <w:name w:val="contribdegrees"/>
    <w:basedOn w:val="DefaultParagraphFont"/>
    <w:rsid w:val="0076063E"/>
  </w:style>
  <w:style w:type="numbering" w:customStyle="1" w:styleId="CurrentList1">
    <w:name w:val="Current List1"/>
    <w:uiPriority w:val="99"/>
    <w:rsid w:val="00C05F24"/>
    <w:pPr>
      <w:numPr>
        <w:numId w:val="8"/>
      </w:numPr>
    </w:pPr>
  </w:style>
  <w:style w:type="numbering" w:customStyle="1" w:styleId="CurrentList2">
    <w:name w:val="Current List2"/>
    <w:uiPriority w:val="99"/>
    <w:rsid w:val="00C05F24"/>
    <w:pPr>
      <w:numPr>
        <w:numId w:val="9"/>
      </w:numPr>
    </w:pPr>
  </w:style>
  <w:style w:type="paragraph" w:styleId="NormalWeb">
    <w:name w:val="Normal (Web)"/>
    <w:basedOn w:val="Normal"/>
    <w:uiPriority w:val="99"/>
    <w:unhideWhenUsed/>
    <w:rsid w:val="00DA11AF"/>
    <w:pPr>
      <w:spacing w:before="100" w:beforeAutospacing="1" w:after="100" w:afterAutospacing="1"/>
    </w:pPr>
  </w:style>
  <w:style w:type="character" w:customStyle="1" w:styleId="cit-auth">
    <w:name w:val="cit-auth"/>
    <w:basedOn w:val="DefaultParagraphFont"/>
    <w:rsid w:val="00A21EAA"/>
  </w:style>
  <w:style w:type="character" w:customStyle="1" w:styleId="cit-name-surname">
    <w:name w:val="cit-name-surname"/>
    <w:basedOn w:val="DefaultParagraphFont"/>
    <w:rsid w:val="00A21EAA"/>
  </w:style>
  <w:style w:type="character" w:customStyle="1" w:styleId="cit-name-given-names">
    <w:name w:val="cit-name-given-names"/>
    <w:basedOn w:val="DefaultParagraphFont"/>
    <w:rsid w:val="00A21EAA"/>
  </w:style>
  <w:style w:type="character" w:styleId="HTMLCite">
    <w:name w:val="HTML Cite"/>
    <w:basedOn w:val="DefaultParagraphFont"/>
    <w:uiPriority w:val="99"/>
    <w:semiHidden/>
    <w:unhideWhenUsed/>
    <w:rsid w:val="00A21EAA"/>
    <w:rPr>
      <w:i/>
      <w:iCs/>
    </w:rPr>
  </w:style>
  <w:style w:type="character" w:customStyle="1" w:styleId="cit-pub-date">
    <w:name w:val="cit-pub-date"/>
    <w:basedOn w:val="DefaultParagraphFont"/>
    <w:rsid w:val="00A21EAA"/>
  </w:style>
  <w:style w:type="character" w:customStyle="1" w:styleId="cit-article-title">
    <w:name w:val="cit-article-title"/>
    <w:basedOn w:val="DefaultParagraphFont"/>
    <w:rsid w:val="00A21EAA"/>
  </w:style>
  <w:style w:type="character" w:customStyle="1" w:styleId="cit-vol">
    <w:name w:val="cit-vol"/>
    <w:basedOn w:val="DefaultParagraphFont"/>
    <w:rsid w:val="00A21EAA"/>
  </w:style>
  <w:style w:type="character" w:customStyle="1" w:styleId="cit-fpage">
    <w:name w:val="cit-fpage"/>
    <w:basedOn w:val="DefaultParagraphFont"/>
    <w:rsid w:val="00A21EAA"/>
  </w:style>
  <w:style w:type="character" w:customStyle="1" w:styleId="cit-lpage">
    <w:name w:val="cit-lpage"/>
    <w:basedOn w:val="DefaultParagraphFont"/>
    <w:rsid w:val="00A21EAA"/>
  </w:style>
  <w:style w:type="character" w:customStyle="1" w:styleId="muxgbd">
    <w:name w:val="muxgbd"/>
    <w:basedOn w:val="DefaultParagraphFont"/>
    <w:rsid w:val="00026251"/>
  </w:style>
  <w:style w:type="paragraph" w:styleId="Caption">
    <w:name w:val="caption"/>
    <w:basedOn w:val="Normal"/>
    <w:next w:val="Normal"/>
    <w:uiPriority w:val="35"/>
    <w:unhideWhenUsed/>
    <w:qFormat/>
    <w:rsid w:val="00C31852"/>
    <w:pPr>
      <w:spacing w:after="200"/>
    </w:pPr>
    <w:rPr>
      <w:rFonts w:asciiTheme="minorHAnsi" w:eastAsiaTheme="minorHAnsi" w:hAnsiTheme="minorHAnsi" w:cstheme="minorBidi"/>
      <w:i/>
      <w:iCs/>
      <w:color w:val="44546A" w:themeColor="text2"/>
      <w:sz w:val="18"/>
      <w:szCs w:val="18"/>
    </w:rPr>
  </w:style>
  <w:style w:type="character" w:customStyle="1" w:styleId="apple-tab-span">
    <w:name w:val="apple-tab-span"/>
    <w:basedOn w:val="DefaultParagraphFont"/>
    <w:rsid w:val="00EF1610"/>
  </w:style>
  <w:style w:type="character" w:styleId="EndnoteReference">
    <w:name w:val="endnote reference"/>
    <w:basedOn w:val="DefaultParagraphFont"/>
    <w:uiPriority w:val="99"/>
    <w:semiHidden/>
    <w:unhideWhenUsed/>
    <w:rsid w:val="0078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02">
      <w:bodyDiv w:val="1"/>
      <w:marLeft w:val="0"/>
      <w:marRight w:val="0"/>
      <w:marTop w:val="0"/>
      <w:marBottom w:val="0"/>
      <w:divBdr>
        <w:top w:val="none" w:sz="0" w:space="0" w:color="auto"/>
        <w:left w:val="none" w:sz="0" w:space="0" w:color="auto"/>
        <w:bottom w:val="none" w:sz="0" w:space="0" w:color="auto"/>
        <w:right w:val="none" w:sz="0" w:space="0" w:color="auto"/>
      </w:divBdr>
    </w:div>
    <w:div w:id="41295902">
      <w:bodyDiv w:val="1"/>
      <w:marLeft w:val="0"/>
      <w:marRight w:val="0"/>
      <w:marTop w:val="0"/>
      <w:marBottom w:val="0"/>
      <w:divBdr>
        <w:top w:val="none" w:sz="0" w:space="0" w:color="auto"/>
        <w:left w:val="none" w:sz="0" w:space="0" w:color="auto"/>
        <w:bottom w:val="none" w:sz="0" w:space="0" w:color="auto"/>
        <w:right w:val="none" w:sz="0" w:space="0" w:color="auto"/>
      </w:divBdr>
    </w:div>
    <w:div w:id="42947754">
      <w:bodyDiv w:val="1"/>
      <w:marLeft w:val="0"/>
      <w:marRight w:val="0"/>
      <w:marTop w:val="0"/>
      <w:marBottom w:val="0"/>
      <w:divBdr>
        <w:top w:val="none" w:sz="0" w:space="0" w:color="auto"/>
        <w:left w:val="none" w:sz="0" w:space="0" w:color="auto"/>
        <w:bottom w:val="none" w:sz="0" w:space="0" w:color="auto"/>
        <w:right w:val="none" w:sz="0" w:space="0" w:color="auto"/>
      </w:divBdr>
    </w:div>
    <w:div w:id="69618690">
      <w:bodyDiv w:val="1"/>
      <w:marLeft w:val="0"/>
      <w:marRight w:val="0"/>
      <w:marTop w:val="0"/>
      <w:marBottom w:val="0"/>
      <w:divBdr>
        <w:top w:val="none" w:sz="0" w:space="0" w:color="auto"/>
        <w:left w:val="none" w:sz="0" w:space="0" w:color="auto"/>
        <w:bottom w:val="none" w:sz="0" w:space="0" w:color="auto"/>
        <w:right w:val="none" w:sz="0" w:space="0" w:color="auto"/>
      </w:divBdr>
    </w:div>
    <w:div w:id="109981511">
      <w:bodyDiv w:val="1"/>
      <w:marLeft w:val="0"/>
      <w:marRight w:val="0"/>
      <w:marTop w:val="0"/>
      <w:marBottom w:val="0"/>
      <w:divBdr>
        <w:top w:val="none" w:sz="0" w:space="0" w:color="auto"/>
        <w:left w:val="none" w:sz="0" w:space="0" w:color="auto"/>
        <w:bottom w:val="none" w:sz="0" w:space="0" w:color="auto"/>
        <w:right w:val="none" w:sz="0" w:space="0" w:color="auto"/>
      </w:divBdr>
    </w:div>
    <w:div w:id="113257474">
      <w:bodyDiv w:val="1"/>
      <w:marLeft w:val="0"/>
      <w:marRight w:val="0"/>
      <w:marTop w:val="0"/>
      <w:marBottom w:val="0"/>
      <w:divBdr>
        <w:top w:val="none" w:sz="0" w:space="0" w:color="auto"/>
        <w:left w:val="none" w:sz="0" w:space="0" w:color="auto"/>
        <w:bottom w:val="none" w:sz="0" w:space="0" w:color="auto"/>
        <w:right w:val="none" w:sz="0" w:space="0" w:color="auto"/>
      </w:divBdr>
    </w:div>
    <w:div w:id="127866149">
      <w:bodyDiv w:val="1"/>
      <w:marLeft w:val="0"/>
      <w:marRight w:val="0"/>
      <w:marTop w:val="0"/>
      <w:marBottom w:val="0"/>
      <w:divBdr>
        <w:top w:val="none" w:sz="0" w:space="0" w:color="auto"/>
        <w:left w:val="none" w:sz="0" w:space="0" w:color="auto"/>
        <w:bottom w:val="none" w:sz="0" w:space="0" w:color="auto"/>
        <w:right w:val="none" w:sz="0" w:space="0" w:color="auto"/>
      </w:divBdr>
    </w:div>
    <w:div w:id="140541435">
      <w:bodyDiv w:val="1"/>
      <w:marLeft w:val="0"/>
      <w:marRight w:val="0"/>
      <w:marTop w:val="0"/>
      <w:marBottom w:val="0"/>
      <w:divBdr>
        <w:top w:val="none" w:sz="0" w:space="0" w:color="auto"/>
        <w:left w:val="none" w:sz="0" w:space="0" w:color="auto"/>
        <w:bottom w:val="none" w:sz="0" w:space="0" w:color="auto"/>
        <w:right w:val="none" w:sz="0" w:space="0" w:color="auto"/>
      </w:divBdr>
    </w:div>
    <w:div w:id="146869960">
      <w:bodyDiv w:val="1"/>
      <w:marLeft w:val="0"/>
      <w:marRight w:val="0"/>
      <w:marTop w:val="0"/>
      <w:marBottom w:val="0"/>
      <w:divBdr>
        <w:top w:val="none" w:sz="0" w:space="0" w:color="auto"/>
        <w:left w:val="none" w:sz="0" w:space="0" w:color="auto"/>
        <w:bottom w:val="none" w:sz="0" w:space="0" w:color="auto"/>
        <w:right w:val="none" w:sz="0" w:space="0" w:color="auto"/>
      </w:divBdr>
    </w:div>
    <w:div w:id="146896389">
      <w:bodyDiv w:val="1"/>
      <w:marLeft w:val="0"/>
      <w:marRight w:val="0"/>
      <w:marTop w:val="0"/>
      <w:marBottom w:val="0"/>
      <w:divBdr>
        <w:top w:val="none" w:sz="0" w:space="0" w:color="auto"/>
        <w:left w:val="none" w:sz="0" w:space="0" w:color="auto"/>
        <w:bottom w:val="none" w:sz="0" w:space="0" w:color="auto"/>
        <w:right w:val="none" w:sz="0" w:space="0" w:color="auto"/>
      </w:divBdr>
    </w:div>
    <w:div w:id="176627847">
      <w:bodyDiv w:val="1"/>
      <w:marLeft w:val="0"/>
      <w:marRight w:val="0"/>
      <w:marTop w:val="0"/>
      <w:marBottom w:val="0"/>
      <w:divBdr>
        <w:top w:val="none" w:sz="0" w:space="0" w:color="auto"/>
        <w:left w:val="none" w:sz="0" w:space="0" w:color="auto"/>
        <w:bottom w:val="none" w:sz="0" w:space="0" w:color="auto"/>
        <w:right w:val="none" w:sz="0" w:space="0" w:color="auto"/>
      </w:divBdr>
    </w:div>
    <w:div w:id="217518375">
      <w:bodyDiv w:val="1"/>
      <w:marLeft w:val="0"/>
      <w:marRight w:val="0"/>
      <w:marTop w:val="0"/>
      <w:marBottom w:val="0"/>
      <w:divBdr>
        <w:top w:val="none" w:sz="0" w:space="0" w:color="auto"/>
        <w:left w:val="none" w:sz="0" w:space="0" w:color="auto"/>
        <w:bottom w:val="none" w:sz="0" w:space="0" w:color="auto"/>
        <w:right w:val="none" w:sz="0" w:space="0" w:color="auto"/>
      </w:divBdr>
    </w:div>
    <w:div w:id="221839532">
      <w:bodyDiv w:val="1"/>
      <w:marLeft w:val="0"/>
      <w:marRight w:val="0"/>
      <w:marTop w:val="0"/>
      <w:marBottom w:val="0"/>
      <w:divBdr>
        <w:top w:val="none" w:sz="0" w:space="0" w:color="auto"/>
        <w:left w:val="none" w:sz="0" w:space="0" w:color="auto"/>
        <w:bottom w:val="none" w:sz="0" w:space="0" w:color="auto"/>
        <w:right w:val="none" w:sz="0" w:space="0" w:color="auto"/>
      </w:divBdr>
    </w:div>
    <w:div w:id="248388981">
      <w:bodyDiv w:val="1"/>
      <w:marLeft w:val="0"/>
      <w:marRight w:val="0"/>
      <w:marTop w:val="0"/>
      <w:marBottom w:val="0"/>
      <w:divBdr>
        <w:top w:val="none" w:sz="0" w:space="0" w:color="auto"/>
        <w:left w:val="none" w:sz="0" w:space="0" w:color="auto"/>
        <w:bottom w:val="none" w:sz="0" w:space="0" w:color="auto"/>
        <w:right w:val="none" w:sz="0" w:space="0" w:color="auto"/>
      </w:divBdr>
    </w:div>
    <w:div w:id="260341027">
      <w:bodyDiv w:val="1"/>
      <w:marLeft w:val="0"/>
      <w:marRight w:val="0"/>
      <w:marTop w:val="0"/>
      <w:marBottom w:val="0"/>
      <w:divBdr>
        <w:top w:val="none" w:sz="0" w:space="0" w:color="auto"/>
        <w:left w:val="none" w:sz="0" w:space="0" w:color="auto"/>
        <w:bottom w:val="none" w:sz="0" w:space="0" w:color="auto"/>
        <w:right w:val="none" w:sz="0" w:space="0" w:color="auto"/>
      </w:divBdr>
    </w:div>
    <w:div w:id="268633159">
      <w:bodyDiv w:val="1"/>
      <w:marLeft w:val="0"/>
      <w:marRight w:val="0"/>
      <w:marTop w:val="0"/>
      <w:marBottom w:val="0"/>
      <w:divBdr>
        <w:top w:val="none" w:sz="0" w:space="0" w:color="auto"/>
        <w:left w:val="none" w:sz="0" w:space="0" w:color="auto"/>
        <w:bottom w:val="none" w:sz="0" w:space="0" w:color="auto"/>
        <w:right w:val="none" w:sz="0" w:space="0" w:color="auto"/>
      </w:divBdr>
    </w:div>
    <w:div w:id="280964145">
      <w:bodyDiv w:val="1"/>
      <w:marLeft w:val="0"/>
      <w:marRight w:val="0"/>
      <w:marTop w:val="0"/>
      <w:marBottom w:val="0"/>
      <w:divBdr>
        <w:top w:val="none" w:sz="0" w:space="0" w:color="auto"/>
        <w:left w:val="none" w:sz="0" w:space="0" w:color="auto"/>
        <w:bottom w:val="none" w:sz="0" w:space="0" w:color="auto"/>
        <w:right w:val="none" w:sz="0" w:space="0" w:color="auto"/>
      </w:divBdr>
    </w:div>
    <w:div w:id="308943328">
      <w:bodyDiv w:val="1"/>
      <w:marLeft w:val="0"/>
      <w:marRight w:val="0"/>
      <w:marTop w:val="0"/>
      <w:marBottom w:val="0"/>
      <w:divBdr>
        <w:top w:val="none" w:sz="0" w:space="0" w:color="auto"/>
        <w:left w:val="none" w:sz="0" w:space="0" w:color="auto"/>
        <w:bottom w:val="none" w:sz="0" w:space="0" w:color="auto"/>
        <w:right w:val="none" w:sz="0" w:space="0" w:color="auto"/>
      </w:divBdr>
    </w:div>
    <w:div w:id="313878013">
      <w:bodyDiv w:val="1"/>
      <w:marLeft w:val="0"/>
      <w:marRight w:val="0"/>
      <w:marTop w:val="0"/>
      <w:marBottom w:val="0"/>
      <w:divBdr>
        <w:top w:val="none" w:sz="0" w:space="0" w:color="auto"/>
        <w:left w:val="none" w:sz="0" w:space="0" w:color="auto"/>
        <w:bottom w:val="none" w:sz="0" w:space="0" w:color="auto"/>
        <w:right w:val="none" w:sz="0" w:space="0" w:color="auto"/>
      </w:divBdr>
    </w:div>
    <w:div w:id="321390513">
      <w:bodyDiv w:val="1"/>
      <w:marLeft w:val="0"/>
      <w:marRight w:val="0"/>
      <w:marTop w:val="0"/>
      <w:marBottom w:val="0"/>
      <w:divBdr>
        <w:top w:val="none" w:sz="0" w:space="0" w:color="auto"/>
        <w:left w:val="none" w:sz="0" w:space="0" w:color="auto"/>
        <w:bottom w:val="none" w:sz="0" w:space="0" w:color="auto"/>
        <w:right w:val="none" w:sz="0" w:space="0" w:color="auto"/>
      </w:divBdr>
    </w:div>
    <w:div w:id="337120925">
      <w:bodyDiv w:val="1"/>
      <w:marLeft w:val="0"/>
      <w:marRight w:val="0"/>
      <w:marTop w:val="0"/>
      <w:marBottom w:val="0"/>
      <w:divBdr>
        <w:top w:val="none" w:sz="0" w:space="0" w:color="auto"/>
        <w:left w:val="none" w:sz="0" w:space="0" w:color="auto"/>
        <w:bottom w:val="none" w:sz="0" w:space="0" w:color="auto"/>
        <w:right w:val="none" w:sz="0" w:space="0" w:color="auto"/>
      </w:divBdr>
    </w:div>
    <w:div w:id="348025171">
      <w:bodyDiv w:val="1"/>
      <w:marLeft w:val="0"/>
      <w:marRight w:val="0"/>
      <w:marTop w:val="0"/>
      <w:marBottom w:val="0"/>
      <w:divBdr>
        <w:top w:val="none" w:sz="0" w:space="0" w:color="auto"/>
        <w:left w:val="none" w:sz="0" w:space="0" w:color="auto"/>
        <w:bottom w:val="none" w:sz="0" w:space="0" w:color="auto"/>
        <w:right w:val="none" w:sz="0" w:space="0" w:color="auto"/>
      </w:divBdr>
    </w:div>
    <w:div w:id="375547765">
      <w:bodyDiv w:val="1"/>
      <w:marLeft w:val="0"/>
      <w:marRight w:val="0"/>
      <w:marTop w:val="0"/>
      <w:marBottom w:val="0"/>
      <w:divBdr>
        <w:top w:val="none" w:sz="0" w:space="0" w:color="auto"/>
        <w:left w:val="none" w:sz="0" w:space="0" w:color="auto"/>
        <w:bottom w:val="none" w:sz="0" w:space="0" w:color="auto"/>
        <w:right w:val="none" w:sz="0" w:space="0" w:color="auto"/>
      </w:divBdr>
    </w:div>
    <w:div w:id="391925885">
      <w:bodyDiv w:val="1"/>
      <w:marLeft w:val="0"/>
      <w:marRight w:val="0"/>
      <w:marTop w:val="0"/>
      <w:marBottom w:val="0"/>
      <w:divBdr>
        <w:top w:val="none" w:sz="0" w:space="0" w:color="auto"/>
        <w:left w:val="none" w:sz="0" w:space="0" w:color="auto"/>
        <w:bottom w:val="none" w:sz="0" w:space="0" w:color="auto"/>
        <w:right w:val="none" w:sz="0" w:space="0" w:color="auto"/>
      </w:divBdr>
    </w:div>
    <w:div w:id="393627537">
      <w:bodyDiv w:val="1"/>
      <w:marLeft w:val="0"/>
      <w:marRight w:val="0"/>
      <w:marTop w:val="0"/>
      <w:marBottom w:val="0"/>
      <w:divBdr>
        <w:top w:val="none" w:sz="0" w:space="0" w:color="auto"/>
        <w:left w:val="none" w:sz="0" w:space="0" w:color="auto"/>
        <w:bottom w:val="none" w:sz="0" w:space="0" w:color="auto"/>
        <w:right w:val="none" w:sz="0" w:space="0" w:color="auto"/>
      </w:divBdr>
    </w:div>
    <w:div w:id="407464345">
      <w:bodyDiv w:val="1"/>
      <w:marLeft w:val="0"/>
      <w:marRight w:val="0"/>
      <w:marTop w:val="0"/>
      <w:marBottom w:val="0"/>
      <w:divBdr>
        <w:top w:val="none" w:sz="0" w:space="0" w:color="auto"/>
        <w:left w:val="none" w:sz="0" w:space="0" w:color="auto"/>
        <w:bottom w:val="none" w:sz="0" w:space="0" w:color="auto"/>
        <w:right w:val="none" w:sz="0" w:space="0" w:color="auto"/>
      </w:divBdr>
    </w:div>
    <w:div w:id="409427423">
      <w:bodyDiv w:val="1"/>
      <w:marLeft w:val="0"/>
      <w:marRight w:val="0"/>
      <w:marTop w:val="0"/>
      <w:marBottom w:val="0"/>
      <w:divBdr>
        <w:top w:val="none" w:sz="0" w:space="0" w:color="auto"/>
        <w:left w:val="none" w:sz="0" w:space="0" w:color="auto"/>
        <w:bottom w:val="none" w:sz="0" w:space="0" w:color="auto"/>
        <w:right w:val="none" w:sz="0" w:space="0" w:color="auto"/>
      </w:divBdr>
      <w:divsChild>
        <w:div w:id="1851333241">
          <w:marLeft w:val="0"/>
          <w:marRight w:val="0"/>
          <w:marTop w:val="0"/>
          <w:marBottom w:val="0"/>
          <w:divBdr>
            <w:top w:val="none" w:sz="0" w:space="0" w:color="auto"/>
            <w:left w:val="none" w:sz="0" w:space="0" w:color="auto"/>
            <w:bottom w:val="none" w:sz="0" w:space="0" w:color="auto"/>
            <w:right w:val="none" w:sz="0" w:space="0" w:color="auto"/>
          </w:divBdr>
          <w:divsChild>
            <w:div w:id="35160042">
              <w:marLeft w:val="0"/>
              <w:marRight w:val="0"/>
              <w:marTop w:val="0"/>
              <w:marBottom w:val="0"/>
              <w:divBdr>
                <w:top w:val="none" w:sz="0" w:space="0" w:color="auto"/>
                <w:left w:val="none" w:sz="0" w:space="0" w:color="auto"/>
                <w:bottom w:val="none" w:sz="0" w:space="0" w:color="auto"/>
                <w:right w:val="none" w:sz="0" w:space="0" w:color="auto"/>
              </w:divBdr>
            </w:div>
          </w:divsChild>
        </w:div>
        <w:div w:id="2133553571">
          <w:marLeft w:val="0"/>
          <w:marRight w:val="0"/>
          <w:marTop w:val="0"/>
          <w:marBottom w:val="150"/>
          <w:divBdr>
            <w:top w:val="none" w:sz="0" w:space="0" w:color="auto"/>
            <w:left w:val="none" w:sz="0" w:space="0" w:color="auto"/>
            <w:bottom w:val="none" w:sz="0" w:space="0" w:color="auto"/>
            <w:right w:val="none" w:sz="0" w:space="0" w:color="auto"/>
          </w:divBdr>
          <w:divsChild>
            <w:div w:id="1456678694">
              <w:marLeft w:val="0"/>
              <w:marRight w:val="0"/>
              <w:marTop w:val="0"/>
              <w:marBottom w:val="0"/>
              <w:divBdr>
                <w:top w:val="none" w:sz="0" w:space="0" w:color="auto"/>
                <w:left w:val="none" w:sz="0" w:space="0" w:color="auto"/>
                <w:bottom w:val="none" w:sz="0" w:space="0" w:color="auto"/>
                <w:right w:val="none" w:sz="0" w:space="0" w:color="auto"/>
              </w:divBdr>
              <w:divsChild>
                <w:div w:id="1139808423">
                  <w:marLeft w:val="0"/>
                  <w:marRight w:val="0"/>
                  <w:marTop w:val="0"/>
                  <w:marBottom w:val="0"/>
                  <w:divBdr>
                    <w:top w:val="none" w:sz="0" w:space="0" w:color="auto"/>
                    <w:left w:val="none" w:sz="0" w:space="0" w:color="auto"/>
                    <w:bottom w:val="none" w:sz="0" w:space="0" w:color="auto"/>
                    <w:right w:val="none" w:sz="0" w:space="0" w:color="auto"/>
                  </w:divBdr>
                  <w:divsChild>
                    <w:div w:id="2079933810">
                      <w:marLeft w:val="0"/>
                      <w:marRight w:val="0"/>
                      <w:marTop w:val="0"/>
                      <w:marBottom w:val="0"/>
                      <w:divBdr>
                        <w:top w:val="none" w:sz="0" w:space="0" w:color="auto"/>
                        <w:left w:val="none" w:sz="0" w:space="0" w:color="auto"/>
                        <w:bottom w:val="none" w:sz="0" w:space="0" w:color="auto"/>
                        <w:right w:val="none" w:sz="0" w:space="0" w:color="auto"/>
                      </w:divBdr>
                      <w:divsChild>
                        <w:div w:id="312881475">
                          <w:marLeft w:val="0"/>
                          <w:marRight w:val="0"/>
                          <w:marTop w:val="0"/>
                          <w:marBottom w:val="0"/>
                          <w:divBdr>
                            <w:top w:val="single" w:sz="6" w:space="0" w:color="CCCCCC"/>
                            <w:left w:val="single" w:sz="6" w:space="0" w:color="CCCCCC"/>
                            <w:bottom w:val="single" w:sz="6" w:space="0" w:color="CCCCCC"/>
                            <w:right w:val="single" w:sz="6" w:space="0" w:color="CCCCCC"/>
                          </w:divBdr>
                          <w:divsChild>
                            <w:div w:id="583802608">
                              <w:marLeft w:val="0"/>
                              <w:marRight w:val="0"/>
                              <w:marTop w:val="0"/>
                              <w:marBottom w:val="0"/>
                              <w:divBdr>
                                <w:top w:val="none" w:sz="0" w:space="0" w:color="auto"/>
                                <w:left w:val="none" w:sz="0" w:space="0" w:color="auto"/>
                                <w:bottom w:val="none" w:sz="0" w:space="0" w:color="auto"/>
                                <w:right w:val="none" w:sz="0" w:space="0" w:color="auto"/>
                              </w:divBdr>
                            </w:div>
                            <w:div w:id="719983024">
                              <w:marLeft w:val="0"/>
                              <w:marRight w:val="0"/>
                              <w:marTop w:val="0"/>
                              <w:marBottom w:val="0"/>
                              <w:divBdr>
                                <w:top w:val="none" w:sz="0" w:space="0" w:color="auto"/>
                                <w:left w:val="none" w:sz="0" w:space="0" w:color="auto"/>
                                <w:bottom w:val="none" w:sz="0" w:space="0" w:color="auto"/>
                                <w:right w:val="none" w:sz="0" w:space="0" w:color="auto"/>
                              </w:divBdr>
                              <w:divsChild>
                                <w:div w:id="15374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174818">
      <w:bodyDiv w:val="1"/>
      <w:marLeft w:val="0"/>
      <w:marRight w:val="0"/>
      <w:marTop w:val="0"/>
      <w:marBottom w:val="0"/>
      <w:divBdr>
        <w:top w:val="none" w:sz="0" w:space="0" w:color="auto"/>
        <w:left w:val="none" w:sz="0" w:space="0" w:color="auto"/>
        <w:bottom w:val="none" w:sz="0" w:space="0" w:color="auto"/>
        <w:right w:val="none" w:sz="0" w:space="0" w:color="auto"/>
      </w:divBdr>
    </w:div>
    <w:div w:id="429005423">
      <w:bodyDiv w:val="1"/>
      <w:marLeft w:val="0"/>
      <w:marRight w:val="0"/>
      <w:marTop w:val="0"/>
      <w:marBottom w:val="0"/>
      <w:divBdr>
        <w:top w:val="none" w:sz="0" w:space="0" w:color="auto"/>
        <w:left w:val="none" w:sz="0" w:space="0" w:color="auto"/>
        <w:bottom w:val="none" w:sz="0" w:space="0" w:color="auto"/>
        <w:right w:val="none" w:sz="0" w:space="0" w:color="auto"/>
      </w:divBdr>
    </w:div>
    <w:div w:id="437332848">
      <w:bodyDiv w:val="1"/>
      <w:marLeft w:val="0"/>
      <w:marRight w:val="0"/>
      <w:marTop w:val="0"/>
      <w:marBottom w:val="0"/>
      <w:divBdr>
        <w:top w:val="none" w:sz="0" w:space="0" w:color="auto"/>
        <w:left w:val="none" w:sz="0" w:space="0" w:color="auto"/>
        <w:bottom w:val="none" w:sz="0" w:space="0" w:color="auto"/>
        <w:right w:val="none" w:sz="0" w:space="0" w:color="auto"/>
      </w:divBdr>
    </w:div>
    <w:div w:id="485631901">
      <w:bodyDiv w:val="1"/>
      <w:marLeft w:val="0"/>
      <w:marRight w:val="0"/>
      <w:marTop w:val="0"/>
      <w:marBottom w:val="0"/>
      <w:divBdr>
        <w:top w:val="none" w:sz="0" w:space="0" w:color="auto"/>
        <w:left w:val="none" w:sz="0" w:space="0" w:color="auto"/>
        <w:bottom w:val="none" w:sz="0" w:space="0" w:color="auto"/>
        <w:right w:val="none" w:sz="0" w:space="0" w:color="auto"/>
      </w:divBdr>
    </w:div>
    <w:div w:id="515920360">
      <w:bodyDiv w:val="1"/>
      <w:marLeft w:val="0"/>
      <w:marRight w:val="0"/>
      <w:marTop w:val="0"/>
      <w:marBottom w:val="0"/>
      <w:divBdr>
        <w:top w:val="none" w:sz="0" w:space="0" w:color="auto"/>
        <w:left w:val="none" w:sz="0" w:space="0" w:color="auto"/>
        <w:bottom w:val="none" w:sz="0" w:space="0" w:color="auto"/>
        <w:right w:val="none" w:sz="0" w:space="0" w:color="auto"/>
      </w:divBdr>
    </w:div>
    <w:div w:id="546528488">
      <w:bodyDiv w:val="1"/>
      <w:marLeft w:val="0"/>
      <w:marRight w:val="0"/>
      <w:marTop w:val="0"/>
      <w:marBottom w:val="0"/>
      <w:divBdr>
        <w:top w:val="none" w:sz="0" w:space="0" w:color="auto"/>
        <w:left w:val="none" w:sz="0" w:space="0" w:color="auto"/>
        <w:bottom w:val="none" w:sz="0" w:space="0" w:color="auto"/>
        <w:right w:val="none" w:sz="0" w:space="0" w:color="auto"/>
      </w:divBdr>
    </w:div>
    <w:div w:id="550655772">
      <w:bodyDiv w:val="1"/>
      <w:marLeft w:val="0"/>
      <w:marRight w:val="0"/>
      <w:marTop w:val="0"/>
      <w:marBottom w:val="0"/>
      <w:divBdr>
        <w:top w:val="none" w:sz="0" w:space="0" w:color="auto"/>
        <w:left w:val="none" w:sz="0" w:space="0" w:color="auto"/>
        <w:bottom w:val="none" w:sz="0" w:space="0" w:color="auto"/>
        <w:right w:val="none" w:sz="0" w:space="0" w:color="auto"/>
      </w:divBdr>
    </w:div>
    <w:div w:id="564224143">
      <w:bodyDiv w:val="1"/>
      <w:marLeft w:val="0"/>
      <w:marRight w:val="0"/>
      <w:marTop w:val="0"/>
      <w:marBottom w:val="0"/>
      <w:divBdr>
        <w:top w:val="none" w:sz="0" w:space="0" w:color="auto"/>
        <w:left w:val="none" w:sz="0" w:space="0" w:color="auto"/>
        <w:bottom w:val="none" w:sz="0" w:space="0" w:color="auto"/>
        <w:right w:val="none" w:sz="0" w:space="0" w:color="auto"/>
      </w:divBdr>
    </w:div>
    <w:div w:id="575283844">
      <w:bodyDiv w:val="1"/>
      <w:marLeft w:val="0"/>
      <w:marRight w:val="0"/>
      <w:marTop w:val="0"/>
      <w:marBottom w:val="0"/>
      <w:divBdr>
        <w:top w:val="none" w:sz="0" w:space="0" w:color="auto"/>
        <w:left w:val="none" w:sz="0" w:space="0" w:color="auto"/>
        <w:bottom w:val="none" w:sz="0" w:space="0" w:color="auto"/>
        <w:right w:val="none" w:sz="0" w:space="0" w:color="auto"/>
      </w:divBdr>
    </w:div>
    <w:div w:id="596864095">
      <w:bodyDiv w:val="1"/>
      <w:marLeft w:val="0"/>
      <w:marRight w:val="0"/>
      <w:marTop w:val="0"/>
      <w:marBottom w:val="0"/>
      <w:divBdr>
        <w:top w:val="none" w:sz="0" w:space="0" w:color="auto"/>
        <w:left w:val="none" w:sz="0" w:space="0" w:color="auto"/>
        <w:bottom w:val="none" w:sz="0" w:space="0" w:color="auto"/>
        <w:right w:val="none" w:sz="0" w:space="0" w:color="auto"/>
      </w:divBdr>
    </w:div>
    <w:div w:id="597639304">
      <w:bodyDiv w:val="1"/>
      <w:marLeft w:val="0"/>
      <w:marRight w:val="0"/>
      <w:marTop w:val="0"/>
      <w:marBottom w:val="0"/>
      <w:divBdr>
        <w:top w:val="none" w:sz="0" w:space="0" w:color="auto"/>
        <w:left w:val="none" w:sz="0" w:space="0" w:color="auto"/>
        <w:bottom w:val="none" w:sz="0" w:space="0" w:color="auto"/>
        <w:right w:val="none" w:sz="0" w:space="0" w:color="auto"/>
      </w:divBdr>
    </w:div>
    <w:div w:id="600651520">
      <w:bodyDiv w:val="1"/>
      <w:marLeft w:val="0"/>
      <w:marRight w:val="0"/>
      <w:marTop w:val="0"/>
      <w:marBottom w:val="0"/>
      <w:divBdr>
        <w:top w:val="none" w:sz="0" w:space="0" w:color="auto"/>
        <w:left w:val="none" w:sz="0" w:space="0" w:color="auto"/>
        <w:bottom w:val="none" w:sz="0" w:space="0" w:color="auto"/>
        <w:right w:val="none" w:sz="0" w:space="0" w:color="auto"/>
      </w:divBdr>
    </w:div>
    <w:div w:id="600794864">
      <w:bodyDiv w:val="1"/>
      <w:marLeft w:val="0"/>
      <w:marRight w:val="0"/>
      <w:marTop w:val="0"/>
      <w:marBottom w:val="0"/>
      <w:divBdr>
        <w:top w:val="none" w:sz="0" w:space="0" w:color="auto"/>
        <w:left w:val="none" w:sz="0" w:space="0" w:color="auto"/>
        <w:bottom w:val="none" w:sz="0" w:space="0" w:color="auto"/>
        <w:right w:val="none" w:sz="0" w:space="0" w:color="auto"/>
      </w:divBdr>
    </w:div>
    <w:div w:id="616255895">
      <w:bodyDiv w:val="1"/>
      <w:marLeft w:val="0"/>
      <w:marRight w:val="0"/>
      <w:marTop w:val="0"/>
      <w:marBottom w:val="0"/>
      <w:divBdr>
        <w:top w:val="none" w:sz="0" w:space="0" w:color="auto"/>
        <w:left w:val="none" w:sz="0" w:space="0" w:color="auto"/>
        <w:bottom w:val="none" w:sz="0" w:space="0" w:color="auto"/>
        <w:right w:val="none" w:sz="0" w:space="0" w:color="auto"/>
      </w:divBdr>
    </w:div>
    <w:div w:id="637272301">
      <w:bodyDiv w:val="1"/>
      <w:marLeft w:val="0"/>
      <w:marRight w:val="0"/>
      <w:marTop w:val="0"/>
      <w:marBottom w:val="0"/>
      <w:divBdr>
        <w:top w:val="none" w:sz="0" w:space="0" w:color="auto"/>
        <w:left w:val="none" w:sz="0" w:space="0" w:color="auto"/>
        <w:bottom w:val="none" w:sz="0" w:space="0" w:color="auto"/>
        <w:right w:val="none" w:sz="0" w:space="0" w:color="auto"/>
      </w:divBdr>
    </w:div>
    <w:div w:id="697045193">
      <w:bodyDiv w:val="1"/>
      <w:marLeft w:val="0"/>
      <w:marRight w:val="0"/>
      <w:marTop w:val="0"/>
      <w:marBottom w:val="0"/>
      <w:divBdr>
        <w:top w:val="none" w:sz="0" w:space="0" w:color="auto"/>
        <w:left w:val="none" w:sz="0" w:space="0" w:color="auto"/>
        <w:bottom w:val="none" w:sz="0" w:space="0" w:color="auto"/>
        <w:right w:val="none" w:sz="0" w:space="0" w:color="auto"/>
      </w:divBdr>
    </w:div>
    <w:div w:id="826634131">
      <w:bodyDiv w:val="1"/>
      <w:marLeft w:val="0"/>
      <w:marRight w:val="0"/>
      <w:marTop w:val="0"/>
      <w:marBottom w:val="0"/>
      <w:divBdr>
        <w:top w:val="none" w:sz="0" w:space="0" w:color="auto"/>
        <w:left w:val="none" w:sz="0" w:space="0" w:color="auto"/>
        <w:bottom w:val="none" w:sz="0" w:space="0" w:color="auto"/>
        <w:right w:val="none" w:sz="0" w:space="0" w:color="auto"/>
      </w:divBdr>
    </w:div>
    <w:div w:id="846559818">
      <w:bodyDiv w:val="1"/>
      <w:marLeft w:val="0"/>
      <w:marRight w:val="0"/>
      <w:marTop w:val="0"/>
      <w:marBottom w:val="0"/>
      <w:divBdr>
        <w:top w:val="none" w:sz="0" w:space="0" w:color="auto"/>
        <w:left w:val="none" w:sz="0" w:space="0" w:color="auto"/>
        <w:bottom w:val="none" w:sz="0" w:space="0" w:color="auto"/>
        <w:right w:val="none" w:sz="0" w:space="0" w:color="auto"/>
      </w:divBdr>
    </w:div>
    <w:div w:id="856240340">
      <w:bodyDiv w:val="1"/>
      <w:marLeft w:val="0"/>
      <w:marRight w:val="0"/>
      <w:marTop w:val="0"/>
      <w:marBottom w:val="0"/>
      <w:divBdr>
        <w:top w:val="none" w:sz="0" w:space="0" w:color="auto"/>
        <w:left w:val="none" w:sz="0" w:space="0" w:color="auto"/>
        <w:bottom w:val="none" w:sz="0" w:space="0" w:color="auto"/>
        <w:right w:val="none" w:sz="0" w:space="0" w:color="auto"/>
      </w:divBdr>
    </w:div>
    <w:div w:id="859972515">
      <w:bodyDiv w:val="1"/>
      <w:marLeft w:val="0"/>
      <w:marRight w:val="0"/>
      <w:marTop w:val="0"/>
      <w:marBottom w:val="0"/>
      <w:divBdr>
        <w:top w:val="none" w:sz="0" w:space="0" w:color="auto"/>
        <w:left w:val="none" w:sz="0" w:space="0" w:color="auto"/>
        <w:bottom w:val="none" w:sz="0" w:space="0" w:color="auto"/>
        <w:right w:val="none" w:sz="0" w:space="0" w:color="auto"/>
      </w:divBdr>
    </w:div>
    <w:div w:id="900292236">
      <w:bodyDiv w:val="1"/>
      <w:marLeft w:val="0"/>
      <w:marRight w:val="0"/>
      <w:marTop w:val="0"/>
      <w:marBottom w:val="0"/>
      <w:divBdr>
        <w:top w:val="none" w:sz="0" w:space="0" w:color="auto"/>
        <w:left w:val="none" w:sz="0" w:space="0" w:color="auto"/>
        <w:bottom w:val="none" w:sz="0" w:space="0" w:color="auto"/>
        <w:right w:val="none" w:sz="0" w:space="0" w:color="auto"/>
      </w:divBdr>
    </w:div>
    <w:div w:id="901521059">
      <w:bodyDiv w:val="1"/>
      <w:marLeft w:val="0"/>
      <w:marRight w:val="0"/>
      <w:marTop w:val="0"/>
      <w:marBottom w:val="0"/>
      <w:divBdr>
        <w:top w:val="none" w:sz="0" w:space="0" w:color="auto"/>
        <w:left w:val="none" w:sz="0" w:space="0" w:color="auto"/>
        <w:bottom w:val="none" w:sz="0" w:space="0" w:color="auto"/>
        <w:right w:val="none" w:sz="0" w:space="0" w:color="auto"/>
      </w:divBdr>
    </w:div>
    <w:div w:id="958990927">
      <w:bodyDiv w:val="1"/>
      <w:marLeft w:val="0"/>
      <w:marRight w:val="0"/>
      <w:marTop w:val="0"/>
      <w:marBottom w:val="0"/>
      <w:divBdr>
        <w:top w:val="none" w:sz="0" w:space="0" w:color="auto"/>
        <w:left w:val="none" w:sz="0" w:space="0" w:color="auto"/>
        <w:bottom w:val="none" w:sz="0" w:space="0" w:color="auto"/>
        <w:right w:val="none" w:sz="0" w:space="0" w:color="auto"/>
      </w:divBdr>
    </w:div>
    <w:div w:id="959534553">
      <w:bodyDiv w:val="1"/>
      <w:marLeft w:val="0"/>
      <w:marRight w:val="0"/>
      <w:marTop w:val="0"/>
      <w:marBottom w:val="0"/>
      <w:divBdr>
        <w:top w:val="none" w:sz="0" w:space="0" w:color="auto"/>
        <w:left w:val="none" w:sz="0" w:space="0" w:color="auto"/>
        <w:bottom w:val="none" w:sz="0" w:space="0" w:color="auto"/>
        <w:right w:val="none" w:sz="0" w:space="0" w:color="auto"/>
      </w:divBdr>
    </w:div>
    <w:div w:id="973490002">
      <w:bodyDiv w:val="1"/>
      <w:marLeft w:val="0"/>
      <w:marRight w:val="0"/>
      <w:marTop w:val="0"/>
      <w:marBottom w:val="0"/>
      <w:divBdr>
        <w:top w:val="none" w:sz="0" w:space="0" w:color="auto"/>
        <w:left w:val="none" w:sz="0" w:space="0" w:color="auto"/>
        <w:bottom w:val="none" w:sz="0" w:space="0" w:color="auto"/>
        <w:right w:val="none" w:sz="0" w:space="0" w:color="auto"/>
      </w:divBdr>
    </w:div>
    <w:div w:id="993992167">
      <w:bodyDiv w:val="1"/>
      <w:marLeft w:val="0"/>
      <w:marRight w:val="0"/>
      <w:marTop w:val="0"/>
      <w:marBottom w:val="0"/>
      <w:divBdr>
        <w:top w:val="none" w:sz="0" w:space="0" w:color="auto"/>
        <w:left w:val="none" w:sz="0" w:space="0" w:color="auto"/>
        <w:bottom w:val="none" w:sz="0" w:space="0" w:color="auto"/>
        <w:right w:val="none" w:sz="0" w:space="0" w:color="auto"/>
      </w:divBdr>
    </w:div>
    <w:div w:id="1007945015">
      <w:bodyDiv w:val="1"/>
      <w:marLeft w:val="0"/>
      <w:marRight w:val="0"/>
      <w:marTop w:val="0"/>
      <w:marBottom w:val="0"/>
      <w:divBdr>
        <w:top w:val="none" w:sz="0" w:space="0" w:color="auto"/>
        <w:left w:val="none" w:sz="0" w:space="0" w:color="auto"/>
        <w:bottom w:val="none" w:sz="0" w:space="0" w:color="auto"/>
        <w:right w:val="none" w:sz="0" w:space="0" w:color="auto"/>
      </w:divBdr>
    </w:div>
    <w:div w:id="1027827375">
      <w:bodyDiv w:val="1"/>
      <w:marLeft w:val="0"/>
      <w:marRight w:val="0"/>
      <w:marTop w:val="0"/>
      <w:marBottom w:val="0"/>
      <w:divBdr>
        <w:top w:val="none" w:sz="0" w:space="0" w:color="auto"/>
        <w:left w:val="none" w:sz="0" w:space="0" w:color="auto"/>
        <w:bottom w:val="none" w:sz="0" w:space="0" w:color="auto"/>
        <w:right w:val="none" w:sz="0" w:space="0" w:color="auto"/>
      </w:divBdr>
    </w:div>
    <w:div w:id="1055353567">
      <w:bodyDiv w:val="1"/>
      <w:marLeft w:val="0"/>
      <w:marRight w:val="0"/>
      <w:marTop w:val="0"/>
      <w:marBottom w:val="0"/>
      <w:divBdr>
        <w:top w:val="none" w:sz="0" w:space="0" w:color="auto"/>
        <w:left w:val="none" w:sz="0" w:space="0" w:color="auto"/>
        <w:bottom w:val="none" w:sz="0" w:space="0" w:color="auto"/>
        <w:right w:val="none" w:sz="0" w:space="0" w:color="auto"/>
      </w:divBdr>
    </w:div>
    <w:div w:id="1056851774">
      <w:bodyDiv w:val="1"/>
      <w:marLeft w:val="0"/>
      <w:marRight w:val="0"/>
      <w:marTop w:val="0"/>
      <w:marBottom w:val="0"/>
      <w:divBdr>
        <w:top w:val="none" w:sz="0" w:space="0" w:color="auto"/>
        <w:left w:val="none" w:sz="0" w:space="0" w:color="auto"/>
        <w:bottom w:val="none" w:sz="0" w:space="0" w:color="auto"/>
        <w:right w:val="none" w:sz="0" w:space="0" w:color="auto"/>
      </w:divBdr>
    </w:div>
    <w:div w:id="1065838572">
      <w:bodyDiv w:val="1"/>
      <w:marLeft w:val="0"/>
      <w:marRight w:val="0"/>
      <w:marTop w:val="0"/>
      <w:marBottom w:val="0"/>
      <w:divBdr>
        <w:top w:val="none" w:sz="0" w:space="0" w:color="auto"/>
        <w:left w:val="none" w:sz="0" w:space="0" w:color="auto"/>
        <w:bottom w:val="none" w:sz="0" w:space="0" w:color="auto"/>
        <w:right w:val="none" w:sz="0" w:space="0" w:color="auto"/>
      </w:divBdr>
    </w:div>
    <w:div w:id="1070273822">
      <w:bodyDiv w:val="1"/>
      <w:marLeft w:val="0"/>
      <w:marRight w:val="0"/>
      <w:marTop w:val="0"/>
      <w:marBottom w:val="0"/>
      <w:divBdr>
        <w:top w:val="none" w:sz="0" w:space="0" w:color="auto"/>
        <w:left w:val="none" w:sz="0" w:space="0" w:color="auto"/>
        <w:bottom w:val="none" w:sz="0" w:space="0" w:color="auto"/>
        <w:right w:val="none" w:sz="0" w:space="0" w:color="auto"/>
      </w:divBdr>
    </w:div>
    <w:div w:id="1109082006">
      <w:bodyDiv w:val="1"/>
      <w:marLeft w:val="0"/>
      <w:marRight w:val="0"/>
      <w:marTop w:val="0"/>
      <w:marBottom w:val="0"/>
      <w:divBdr>
        <w:top w:val="none" w:sz="0" w:space="0" w:color="auto"/>
        <w:left w:val="none" w:sz="0" w:space="0" w:color="auto"/>
        <w:bottom w:val="none" w:sz="0" w:space="0" w:color="auto"/>
        <w:right w:val="none" w:sz="0" w:space="0" w:color="auto"/>
      </w:divBdr>
    </w:div>
    <w:div w:id="1131283143">
      <w:bodyDiv w:val="1"/>
      <w:marLeft w:val="0"/>
      <w:marRight w:val="0"/>
      <w:marTop w:val="0"/>
      <w:marBottom w:val="0"/>
      <w:divBdr>
        <w:top w:val="none" w:sz="0" w:space="0" w:color="auto"/>
        <w:left w:val="none" w:sz="0" w:space="0" w:color="auto"/>
        <w:bottom w:val="none" w:sz="0" w:space="0" w:color="auto"/>
        <w:right w:val="none" w:sz="0" w:space="0" w:color="auto"/>
      </w:divBdr>
    </w:div>
    <w:div w:id="1146816763">
      <w:bodyDiv w:val="1"/>
      <w:marLeft w:val="0"/>
      <w:marRight w:val="0"/>
      <w:marTop w:val="0"/>
      <w:marBottom w:val="0"/>
      <w:divBdr>
        <w:top w:val="none" w:sz="0" w:space="0" w:color="auto"/>
        <w:left w:val="none" w:sz="0" w:space="0" w:color="auto"/>
        <w:bottom w:val="none" w:sz="0" w:space="0" w:color="auto"/>
        <w:right w:val="none" w:sz="0" w:space="0" w:color="auto"/>
      </w:divBdr>
    </w:div>
    <w:div w:id="1157501917">
      <w:bodyDiv w:val="1"/>
      <w:marLeft w:val="0"/>
      <w:marRight w:val="0"/>
      <w:marTop w:val="0"/>
      <w:marBottom w:val="0"/>
      <w:divBdr>
        <w:top w:val="none" w:sz="0" w:space="0" w:color="auto"/>
        <w:left w:val="none" w:sz="0" w:space="0" w:color="auto"/>
        <w:bottom w:val="none" w:sz="0" w:space="0" w:color="auto"/>
        <w:right w:val="none" w:sz="0" w:space="0" w:color="auto"/>
      </w:divBdr>
    </w:div>
    <w:div w:id="1168792957">
      <w:bodyDiv w:val="1"/>
      <w:marLeft w:val="0"/>
      <w:marRight w:val="0"/>
      <w:marTop w:val="0"/>
      <w:marBottom w:val="0"/>
      <w:divBdr>
        <w:top w:val="none" w:sz="0" w:space="0" w:color="auto"/>
        <w:left w:val="none" w:sz="0" w:space="0" w:color="auto"/>
        <w:bottom w:val="none" w:sz="0" w:space="0" w:color="auto"/>
        <w:right w:val="none" w:sz="0" w:space="0" w:color="auto"/>
      </w:divBdr>
    </w:div>
    <w:div w:id="1218278635">
      <w:bodyDiv w:val="1"/>
      <w:marLeft w:val="0"/>
      <w:marRight w:val="0"/>
      <w:marTop w:val="0"/>
      <w:marBottom w:val="0"/>
      <w:divBdr>
        <w:top w:val="none" w:sz="0" w:space="0" w:color="auto"/>
        <w:left w:val="none" w:sz="0" w:space="0" w:color="auto"/>
        <w:bottom w:val="none" w:sz="0" w:space="0" w:color="auto"/>
        <w:right w:val="none" w:sz="0" w:space="0" w:color="auto"/>
      </w:divBdr>
    </w:div>
    <w:div w:id="1219055957">
      <w:bodyDiv w:val="1"/>
      <w:marLeft w:val="0"/>
      <w:marRight w:val="0"/>
      <w:marTop w:val="0"/>
      <w:marBottom w:val="0"/>
      <w:divBdr>
        <w:top w:val="none" w:sz="0" w:space="0" w:color="auto"/>
        <w:left w:val="none" w:sz="0" w:space="0" w:color="auto"/>
        <w:bottom w:val="none" w:sz="0" w:space="0" w:color="auto"/>
        <w:right w:val="none" w:sz="0" w:space="0" w:color="auto"/>
      </w:divBdr>
    </w:div>
    <w:div w:id="1219633024">
      <w:bodyDiv w:val="1"/>
      <w:marLeft w:val="0"/>
      <w:marRight w:val="0"/>
      <w:marTop w:val="0"/>
      <w:marBottom w:val="0"/>
      <w:divBdr>
        <w:top w:val="none" w:sz="0" w:space="0" w:color="auto"/>
        <w:left w:val="none" w:sz="0" w:space="0" w:color="auto"/>
        <w:bottom w:val="none" w:sz="0" w:space="0" w:color="auto"/>
        <w:right w:val="none" w:sz="0" w:space="0" w:color="auto"/>
      </w:divBdr>
    </w:div>
    <w:div w:id="1231112720">
      <w:bodyDiv w:val="1"/>
      <w:marLeft w:val="0"/>
      <w:marRight w:val="0"/>
      <w:marTop w:val="0"/>
      <w:marBottom w:val="0"/>
      <w:divBdr>
        <w:top w:val="none" w:sz="0" w:space="0" w:color="auto"/>
        <w:left w:val="none" w:sz="0" w:space="0" w:color="auto"/>
        <w:bottom w:val="none" w:sz="0" w:space="0" w:color="auto"/>
        <w:right w:val="none" w:sz="0" w:space="0" w:color="auto"/>
      </w:divBdr>
    </w:div>
    <w:div w:id="1240477318">
      <w:bodyDiv w:val="1"/>
      <w:marLeft w:val="0"/>
      <w:marRight w:val="0"/>
      <w:marTop w:val="0"/>
      <w:marBottom w:val="0"/>
      <w:divBdr>
        <w:top w:val="none" w:sz="0" w:space="0" w:color="auto"/>
        <w:left w:val="none" w:sz="0" w:space="0" w:color="auto"/>
        <w:bottom w:val="none" w:sz="0" w:space="0" w:color="auto"/>
        <w:right w:val="none" w:sz="0" w:space="0" w:color="auto"/>
      </w:divBdr>
    </w:div>
    <w:div w:id="1257859896">
      <w:bodyDiv w:val="1"/>
      <w:marLeft w:val="0"/>
      <w:marRight w:val="0"/>
      <w:marTop w:val="0"/>
      <w:marBottom w:val="0"/>
      <w:divBdr>
        <w:top w:val="none" w:sz="0" w:space="0" w:color="auto"/>
        <w:left w:val="none" w:sz="0" w:space="0" w:color="auto"/>
        <w:bottom w:val="none" w:sz="0" w:space="0" w:color="auto"/>
        <w:right w:val="none" w:sz="0" w:space="0" w:color="auto"/>
      </w:divBdr>
    </w:div>
    <w:div w:id="1267227280">
      <w:bodyDiv w:val="1"/>
      <w:marLeft w:val="0"/>
      <w:marRight w:val="0"/>
      <w:marTop w:val="0"/>
      <w:marBottom w:val="0"/>
      <w:divBdr>
        <w:top w:val="none" w:sz="0" w:space="0" w:color="auto"/>
        <w:left w:val="none" w:sz="0" w:space="0" w:color="auto"/>
        <w:bottom w:val="none" w:sz="0" w:space="0" w:color="auto"/>
        <w:right w:val="none" w:sz="0" w:space="0" w:color="auto"/>
      </w:divBdr>
    </w:div>
    <w:div w:id="1276214755">
      <w:bodyDiv w:val="1"/>
      <w:marLeft w:val="0"/>
      <w:marRight w:val="0"/>
      <w:marTop w:val="0"/>
      <w:marBottom w:val="0"/>
      <w:divBdr>
        <w:top w:val="none" w:sz="0" w:space="0" w:color="auto"/>
        <w:left w:val="none" w:sz="0" w:space="0" w:color="auto"/>
        <w:bottom w:val="none" w:sz="0" w:space="0" w:color="auto"/>
        <w:right w:val="none" w:sz="0" w:space="0" w:color="auto"/>
      </w:divBdr>
    </w:div>
    <w:div w:id="1305156424">
      <w:bodyDiv w:val="1"/>
      <w:marLeft w:val="0"/>
      <w:marRight w:val="0"/>
      <w:marTop w:val="0"/>
      <w:marBottom w:val="0"/>
      <w:divBdr>
        <w:top w:val="none" w:sz="0" w:space="0" w:color="auto"/>
        <w:left w:val="none" w:sz="0" w:space="0" w:color="auto"/>
        <w:bottom w:val="none" w:sz="0" w:space="0" w:color="auto"/>
        <w:right w:val="none" w:sz="0" w:space="0" w:color="auto"/>
      </w:divBdr>
    </w:div>
    <w:div w:id="1315911935">
      <w:bodyDiv w:val="1"/>
      <w:marLeft w:val="0"/>
      <w:marRight w:val="0"/>
      <w:marTop w:val="0"/>
      <w:marBottom w:val="0"/>
      <w:divBdr>
        <w:top w:val="none" w:sz="0" w:space="0" w:color="auto"/>
        <w:left w:val="none" w:sz="0" w:space="0" w:color="auto"/>
        <w:bottom w:val="none" w:sz="0" w:space="0" w:color="auto"/>
        <w:right w:val="none" w:sz="0" w:space="0" w:color="auto"/>
      </w:divBdr>
    </w:div>
    <w:div w:id="1325165987">
      <w:bodyDiv w:val="1"/>
      <w:marLeft w:val="0"/>
      <w:marRight w:val="0"/>
      <w:marTop w:val="0"/>
      <w:marBottom w:val="0"/>
      <w:divBdr>
        <w:top w:val="none" w:sz="0" w:space="0" w:color="auto"/>
        <w:left w:val="none" w:sz="0" w:space="0" w:color="auto"/>
        <w:bottom w:val="none" w:sz="0" w:space="0" w:color="auto"/>
        <w:right w:val="none" w:sz="0" w:space="0" w:color="auto"/>
      </w:divBdr>
    </w:div>
    <w:div w:id="1325206361">
      <w:bodyDiv w:val="1"/>
      <w:marLeft w:val="0"/>
      <w:marRight w:val="0"/>
      <w:marTop w:val="0"/>
      <w:marBottom w:val="0"/>
      <w:divBdr>
        <w:top w:val="none" w:sz="0" w:space="0" w:color="auto"/>
        <w:left w:val="none" w:sz="0" w:space="0" w:color="auto"/>
        <w:bottom w:val="none" w:sz="0" w:space="0" w:color="auto"/>
        <w:right w:val="none" w:sz="0" w:space="0" w:color="auto"/>
      </w:divBdr>
    </w:div>
    <w:div w:id="1329016651">
      <w:bodyDiv w:val="1"/>
      <w:marLeft w:val="0"/>
      <w:marRight w:val="0"/>
      <w:marTop w:val="0"/>
      <w:marBottom w:val="0"/>
      <w:divBdr>
        <w:top w:val="none" w:sz="0" w:space="0" w:color="auto"/>
        <w:left w:val="none" w:sz="0" w:space="0" w:color="auto"/>
        <w:bottom w:val="none" w:sz="0" w:space="0" w:color="auto"/>
        <w:right w:val="none" w:sz="0" w:space="0" w:color="auto"/>
      </w:divBdr>
      <w:divsChild>
        <w:div w:id="777987217">
          <w:marLeft w:val="-15"/>
          <w:marRight w:val="0"/>
          <w:marTop w:val="0"/>
          <w:marBottom w:val="0"/>
          <w:divBdr>
            <w:top w:val="none" w:sz="0" w:space="0" w:color="auto"/>
            <w:left w:val="none" w:sz="0" w:space="0" w:color="auto"/>
            <w:bottom w:val="none" w:sz="0" w:space="0" w:color="auto"/>
            <w:right w:val="none" w:sz="0" w:space="0" w:color="auto"/>
          </w:divBdr>
        </w:div>
      </w:divsChild>
    </w:div>
    <w:div w:id="1349143505">
      <w:bodyDiv w:val="1"/>
      <w:marLeft w:val="0"/>
      <w:marRight w:val="0"/>
      <w:marTop w:val="0"/>
      <w:marBottom w:val="0"/>
      <w:divBdr>
        <w:top w:val="none" w:sz="0" w:space="0" w:color="auto"/>
        <w:left w:val="none" w:sz="0" w:space="0" w:color="auto"/>
        <w:bottom w:val="none" w:sz="0" w:space="0" w:color="auto"/>
        <w:right w:val="none" w:sz="0" w:space="0" w:color="auto"/>
      </w:divBdr>
    </w:div>
    <w:div w:id="1349526046">
      <w:bodyDiv w:val="1"/>
      <w:marLeft w:val="0"/>
      <w:marRight w:val="0"/>
      <w:marTop w:val="0"/>
      <w:marBottom w:val="0"/>
      <w:divBdr>
        <w:top w:val="none" w:sz="0" w:space="0" w:color="auto"/>
        <w:left w:val="none" w:sz="0" w:space="0" w:color="auto"/>
        <w:bottom w:val="none" w:sz="0" w:space="0" w:color="auto"/>
        <w:right w:val="none" w:sz="0" w:space="0" w:color="auto"/>
      </w:divBdr>
    </w:div>
    <w:div w:id="1357997410">
      <w:bodyDiv w:val="1"/>
      <w:marLeft w:val="0"/>
      <w:marRight w:val="0"/>
      <w:marTop w:val="0"/>
      <w:marBottom w:val="0"/>
      <w:divBdr>
        <w:top w:val="none" w:sz="0" w:space="0" w:color="auto"/>
        <w:left w:val="none" w:sz="0" w:space="0" w:color="auto"/>
        <w:bottom w:val="none" w:sz="0" w:space="0" w:color="auto"/>
        <w:right w:val="none" w:sz="0" w:space="0" w:color="auto"/>
      </w:divBdr>
    </w:div>
    <w:div w:id="1369986449">
      <w:bodyDiv w:val="1"/>
      <w:marLeft w:val="0"/>
      <w:marRight w:val="0"/>
      <w:marTop w:val="0"/>
      <w:marBottom w:val="0"/>
      <w:divBdr>
        <w:top w:val="none" w:sz="0" w:space="0" w:color="auto"/>
        <w:left w:val="none" w:sz="0" w:space="0" w:color="auto"/>
        <w:bottom w:val="none" w:sz="0" w:space="0" w:color="auto"/>
        <w:right w:val="none" w:sz="0" w:space="0" w:color="auto"/>
      </w:divBdr>
    </w:div>
    <w:div w:id="1372606818">
      <w:bodyDiv w:val="1"/>
      <w:marLeft w:val="0"/>
      <w:marRight w:val="0"/>
      <w:marTop w:val="0"/>
      <w:marBottom w:val="0"/>
      <w:divBdr>
        <w:top w:val="none" w:sz="0" w:space="0" w:color="auto"/>
        <w:left w:val="none" w:sz="0" w:space="0" w:color="auto"/>
        <w:bottom w:val="none" w:sz="0" w:space="0" w:color="auto"/>
        <w:right w:val="none" w:sz="0" w:space="0" w:color="auto"/>
      </w:divBdr>
    </w:div>
    <w:div w:id="1382559642">
      <w:bodyDiv w:val="1"/>
      <w:marLeft w:val="0"/>
      <w:marRight w:val="0"/>
      <w:marTop w:val="0"/>
      <w:marBottom w:val="0"/>
      <w:divBdr>
        <w:top w:val="none" w:sz="0" w:space="0" w:color="auto"/>
        <w:left w:val="none" w:sz="0" w:space="0" w:color="auto"/>
        <w:bottom w:val="none" w:sz="0" w:space="0" w:color="auto"/>
        <w:right w:val="none" w:sz="0" w:space="0" w:color="auto"/>
      </w:divBdr>
    </w:div>
    <w:div w:id="1404569555">
      <w:bodyDiv w:val="1"/>
      <w:marLeft w:val="0"/>
      <w:marRight w:val="0"/>
      <w:marTop w:val="0"/>
      <w:marBottom w:val="0"/>
      <w:divBdr>
        <w:top w:val="none" w:sz="0" w:space="0" w:color="auto"/>
        <w:left w:val="none" w:sz="0" w:space="0" w:color="auto"/>
        <w:bottom w:val="none" w:sz="0" w:space="0" w:color="auto"/>
        <w:right w:val="none" w:sz="0" w:space="0" w:color="auto"/>
      </w:divBdr>
    </w:div>
    <w:div w:id="1410620151">
      <w:bodyDiv w:val="1"/>
      <w:marLeft w:val="0"/>
      <w:marRight w:val="0"/>
      <w:marTop w:val="0"/>
      <w:marBottom w:val="0"/>
      <w:divBdr>
        <w:top w:val="none" w:sz="0" w:space="0" w:color="auto"/>
        <w:left w:val="none" w:sz="0" w:space="0" w:color="auto"/>
        <w:bottom w:val="none" w:sz="0" w:space="0" w:color="auto"/>
        <w:right w:val="none" w:sz="0" w:space="0" w:color="auto"/>
      </w:divBdr>
    </w:div>
    <w:div w:id="1421685071">
      <w:bodyDiv w:val="1"/>
      <w:marLeft w:val="0"/>
      <w:marRight w:val="0"/>
      <w:marTop w:val="0"/>
      <w:marBottom w:val="0"/>
      <w:divBdr>
        <w:top w:val="none" w:sz="0" w:space="0" w:color="auto"/>
        <w:left w:val="none" w:sz="0" w:space="0" w:color="auto"/>
        <w:bottom w:val="none" w:sz="0" w:space="0" w:color="auto"/>
        <w:right w:val="none" w:sz="0" w:space="0" w:color="auto"/>
      </w:divBdr>
    </w:div>
    <w:div w:id="1422987889">
      <w:bodyDiv w:val="1"/>
      <w:marLeft w:val="0"/>
      <w:marRight w:val="0"/>
      <w:marTop w:val="0"/>
      <w:marBottom w:val="0"/>
      <w:divBdr>
        <w:top w:val="none" w:sz="0" w:space="0" w:color="auto"/>
        <w:left w:val="none" w:sz="0" w:space="0" w:color="auto"/>
        <w:bottom w:val="none" w:sz="0" w:space="0" w:color="auto"/>
        <w:right w:val="none" w:sz="0" w:space="0" w:color="auto"/>
      </w:divBdr>
    </w:div>
    <w:div w:id="1431316818">
      <w:bodyDiv w:val="1"/>
      <w:marLeft w:val="0"/>
      <w:marRight w:val="0"/>
      <w:marTop w:val="0"/>
      <w:marBottom w:val="0"/>
      <w:divBdr>
        <w:top w:val="none" w:sz="0" w:space="0" w:color="auto"/>
        <w:left w:val="none" w:sz="0" w:space="0" w:color="auto"/>
        <w:bottom w:val="none" w:sz="0" w:space="0" w:color="auto"/>
        <w:right w:val="none" w:sz="0" w:space="0" w:color="auto"/>
      </w:divBdr>
    </w:div>
    <w:div w:id="1472483100">
      <w:bodyDiv w:val="1"/>
      <w:marLeft w:val="0"/>
      <w:marRight w:val="0"/>
      <w:marTop w:val="0"/>
      <w:marBottom w:val="0"/>
      <w:divBdr>
        <w:top w:val="none" w:sz="0" w:space="0" w:color="auto"/>
        <w:left w:val="none" w:sz="0" w:space="0" w:color="auto"/>
        <w:bottom w:val="none" w:sz="0" w:space="0" w:color="auto"/>
        <w:right w:val="none" w:sz="0" w:space="0" w:color="auto"/>
      </w:divBdr>
    </w:div>
    <w:div w:id="1482384197">
      <w:bodyDiv w:val="1"/>
      <w:marLeft w:val="0"/>
      <w:marRight w:val="0"/>
      <w:marTop w:val="0"/>
      <w:marBottom w:val="0"/>
      <w:divBdr>
        <w:top w:val="none" w:sz="0" w:space="0" w:color="auto"/>
        <w:left w:val="none" w:sz="0" w:space="0" w:color="auto"/>
        <w:bottom w:val="none" w:sz="0" w:space="0" w:color="auto"/>
        <w:right w:val="none" w:sz="0" w:space="0" w:color="auto"/>
      </w:divBdr>
    </w:div>
    <w:div w:id="1498963506">
      <w:bodyDiv w:val="1"/>
      <w:marLeft w:val="0"/>
      <w:marRight w:val="0"/>
      <w:marTop w:val="0"/>
      <w:marBottom w:val="0"/>
      <w:divBdr>
        <w:top w:val="none" w:sz="0" w:space="0" w:color="auto"/>
        <w:left w:val="none" w:sz="0" w:space="0" w:color="auto"/>
        <w:bottom w:val="none" w:sz="0" w:space="0" w:color="auto"/>
        <w:right w:val="none" w:sz="0" w:space="0" w:color="auto"/>
      </w:divBdr>
    </w:div>
    <w:div w:id="1509827320">
      <w:bodyDiv w:val="1"/>
      <w:marLeft w:val="0"/>
      <w:marRight w:val="0"/>
      <w:marTop w:val="0"/>
      <w:marBottom w:val="0"/>
      <w:divBdr>
        <w:top w:val="none" w:sz="0" w:space="0" w:color="auto"/>
        <w:left w:val="none" w:sz="0" w:space="0" w:color="auto"/>
        <w:bottom w:val="none" w:sz="0" w:space="0" w:color="auto"/>
        <w:right w:val="none" w:sz="0" w:space="0" w:color="auto"/>
      </w:divBdr>
    </w:div>
    <w:div w:id="1515919955">
      <w:bodyDiv w:val="1"/>
      <w:marLeft w:val="0"/>
      <w:marRight w:val="0"/>
      <w:marTop w:val="0"/>
      <w:marBottom w:val="0"/>
      <w:divBdr>
        <w:top w:val="none" w:sz="0" w:space="0" w:color="auto"/>
        <w:left w:val="none" w:sz="0" w:space="0" w:color="auto"/>
        <w:bottom w:val="none" w:sz="0" w:space="0" w:color="auto"/>
        <w:right w:val="none" w:sz="0" w:space="0" w:color="auto"/>
      </w:divBdr>
    </w:div>
    <w:div w:id="1522665227">
      <w:bodyDiv w:val="1"/>
      <w:marLeft w:val="0"/>
      <w:marRight w:val="0"/>
      <w:marTop w:val="0"/>
      <w:marBottom w:val="0"/>
      <w:divBdr>
        <w:top w:val="none" w:sz="0" w:space="0" w:color="auto"/>
        <w:left w:val="none" w:sz="0" w:space="0" w:color="auto"/>
        <w:bottom w:val="none" w:sz="0" w:space="0" w:color="auto"/>
        <w:right w:val="none" w:sz="0" w:space="0" w:color="auto"/>
      </w:divBdr>
    </w:div>
    <w:div w:id="1538199996">
      <w:bodyDiv w:val="1"/>
      <w:marLeft w:val="0"/>
      <w:marRight w:val="0"/>
      <w:marTop w:val="0"/>
      <w:marBottom w:val="0"/>
      <w:divBdr>
        <w:top w:val="none" w:sz="0" w:space="0" w:color="auto"/>
        <w:left w:val="none" w:sz="0" w:space="0" w:color="auto"/>
        <w:bottom w:val="none" w:sz="0" w:space="0" w:color="auto"/>
        <w:right w:val="none" w:sz="0" w:space="0" w:color="auto"/>
      </w:divBdr>
    </w:div>
    <w:div w:id="1544291439">
      <w:bodyDiv w:val="1"/>
      <w:marLeft w:val="0"/>
      <w:marRight w:val="0"/>
      <w:marTop w:val="0"/>
      <w:marBottom w:val="0"/>
      <w:divBdr>
        <w:top w:val="none" w:sz="0" w:space="0" w:color="auto"/>
        <w:left w:val="none" w:sz="0" w:space="0" w:color="auto"/>
        <w:bottom w:val="none" w:sz="0" w:space="0" w:color="auto"/>
        <w:right w:val="none" w:sz="0" w:space="0" w:color="auto"/>
      </w:divBdr>
    </w:div>
    <w:div w:id="1544632676">
      <w:bodyDiv w:val="1"/>
      <w:marLeft w:val="0"/>
      <w:marRight w:val="0"/>
      <w:marTop w:val="0"/>
      <w:marBottom w:val="0"/>
      <w:divBdr>
        <w:top w:val="none" w:sz="0" w:space="0" w:color="auto"/>
        <w:left w:val="none" w:sz="0" w:space="0" w:color="auto"/>
        <w:bottom w:val="none" w:sz="0" w:space="0" w:color="auto"/>
        <w:right w:val="none" w:sz="0" w:space="0" w:color="auto"/>
      </w:divBdr>
    </w:div>
    <w:div w:id="1547331279">
      <w:bodyDiv w:val="1"/>
      <w:marLeft w:val="0"/>
      <w:marRight w:val="0"/>
      <w:marTop w:val="0"/>
      <w:marBottom w:val="0"/>
      <w:divBdr>
        <w:top w:val="none" w:sz="0" w:space="0" w:color="auto"/>
        <w:left w:val="none" w:sz="0" w:space="0" w:color="auto"/>
        <w:bottom w:val="none" w:sz="0" w:space="0" w:color="auto"/>
        <w:right w:val="none" w:sz="0" w:space="0" w:color="auto"/>
      </w:divBdr>
    </w:div>
    <w:div w:id="1547764422">
      <w:bodyDiv w:val="1"/>
      <w:marLeft w:val="0"/>
      <w:marRight w:val="0"/>
      <w:marTop w:val="0"/>
      <w:marBottom w:val="0"/>
      <w:divBdr>
        <w:top w:val="none" w:sz="0" w:space="0" w:color="auto"/>
        <w:left w:val="none" w:sz="0" w:space="0" w:color="auto"/>
        <w:bottom w:val="none" w:sz="0" w:space="0" w:color="auto"/>
        <w:right w:val="none" w:sz="0" w:space="0" w:color="auto"/>
      </w:divBdr>
    </w:div>
    <w:div w:id="1586694206">
      <w:bodyDiv w:val="1"/>
      <w:marLeft w:val="0"/>
      <w:marRight w:val="0"/>
      <w:marTop w:val="0"/>
      <w:marBottom w:val="0"/>
      <w:divBdr>
        <w:top w:val="none" w:sz="0" w:space="0" w:color="auto"/>
        <w:left w:val="none" w:sz="0" w:space="0" w:color="auto"/>
        <w:bottom w:val="none" w:sz="0" w:space="0" w:color="auto"/>
        <w:right w:val="none" w:sz="0" w:space="0" w:color="auto"/>
      </w:divBdr>
    </w:div>
    <w:div w:id="1611622194">
      <w:bodyDiv w:val="1"/>
      <w:marLeft w:val="0"/>
      <w:marRight w:val="0"/>
      <w:marTop w:val="0"/>
      <w:marBottom w:val="0"/>
      <w:divBdr>
        <w:top w:val="none" w:sz="0" w:space="0" w:color="auto"/>
        <w:left w:val="none" w:sz="0" w:space="0" w:color="auto"/>
        <w:bottom w:val="none" w:sz="0" w:space="0" w:color="auto"/>
        <w:right w:val="none" w:sz="0" w:space="0" w:color="auto"/>
      </w:divBdr>
    </w:div>
    <w:div w:id="1624966927">
      <w:bodyDiv w:val="1"/>
      <w:marLeft w:val="0"/>
      <w:marRight w:val="0"/>
      <w:marTop w:val="0"/>
      <w:marBottom w:val="0"/>
      <w:divBdr>
        <w:top w:val="none" w:sz="0" w:space="0" w:color="auto"/>
        <w:left w:val="none" w:sz="0" w:space="0" w:color="auto"/>
        <w:bottom w:val="none" w:sz="0" w:space="0" w:color="auto"/>
        <w:right w:val="none" w:sz="0" w:space="0" w:color="auto"/>
      </w:divBdr>
    </w:div>
    <w:div w:id="1657415843">
      <w:bodyDiv w:val="1"/>
      <w:marLeft w:val="0"/>
      <w:marRight w:val="0"/>
      <w:marTop w:val="0"/>
      <w:marBottom w:val="0"/>
      <w:divBdr>
        <w:top w:val="none" w:sz="0" w:space="0" w:color="auto"/>
        <w:left w:val="none" w:sz="0" w:space="0" w:color="auto"/>
        <w:bottom w:val="none" w:sz="0" w:space="0" w:color="auto"/>
        <w:right w:val="none" w:sz="0" w:space="0" w:color="auto"/>
      </w:divBdr>
    </w:div>
    <w:div w:id="1669553155">
      <w:bodyDiv w:val="1"/>
      <w:marLeft w:val="0"/>
      <w:marRight w:val="0"/>
      <w:marTop w:val="0"/>
      <w:marBottom w:val="0"/>
      <w:divBdr>
        <w:top w:val="none" w:sz="0" w:space="0" w:color="auto"/>
        <w:left w:val="none" w:sz="0" w:space="0" w:color="auto"/>
        <w:bottom w:val="none" w:sz="0" w:space="0" w:color="auto"/>
        <w:right w:val="none" w:sz="0" w:space="0" w:color="auto"/>
      </w:divBdr>
    </w:div>
    <w:div w:id="1687825828">
      <w:bodyDiv w:val="1"/>
      <w:marLeft w:val="0"/>
      <w:marRight w:val="0"/>
      <w:marTop w:val="0"/>
      <w:marBottom w:val="0"/>
      <w:divBdr>
        <w:top w:val="none" w:sz="0" w:space="0" w:color="auto"/>
        <w:left w:val="none" w:sz="0" w:space="0" w:color="auto"/>
        <w:bottom w:val="none" w:sz="0" w:space="0" w:color="auto"/>
        <w:right w:val="none" w:sz="0" w:space="0" w:color="auto"/>
      </w:divBdr>
    </w:div>
    <w:div w:id="1751465670">
      <w:bodyDiv w:val="1"/>
      <w:marLeft w:val="0"/>
      <w:marRight w:val="0"/>
      <w:marTop w:val="0"/>
      <w:marBottom w:val="0"/>
      <w:divBdr>
        <w:top w:val="none" w:sz="0" w:space="0" w:color="auto"/>
        <w:left w:val="none" w:sz="0" w:space="0" w:color="auto"/>
        <w:bottom w:val="none" w:sz="0" w:space="0" w:color="auto"/>
        <w:right w:val="none" w:sz="0" w:space="0" w:color="auto"/>
      </w:divBdr>
    </w:div>
    <w:div w:id="1817793598">
      <w:bodyDiv w:val="1"/>
      <w:marLeft w:val="0"/>
      <w:marRight w:val="0"/>
      <w:marTop w:val="0"/>
      <w:marBottom w:val="0"/>
      <w:divBdr>
        <w:top w:val="none" w:sz="0" w:space="0" w:color="auto"/>
        <w:left w:val="none" w:sz="0" w:space="0" w:color="auto"/>
        <w:bottom w:val="none" w:sz="0" w:space="0" w:color="auto"/>
        <w:right w:val="none" w:sz="0" w:space="0" w:color="auto"/>
      </w:divBdr>
    </w:div>
    <w:div w:id="1835759334">
      <w:bodyDiv w:val="1"/>
      <w:marLeft w:val="0"/>
      <w:marRight w:val="0"/>
      <w:marTop w:val="0"/>
      <w:marBottom w:val="0"/>
      <w:divBdr>
        <w:top w:val="none" w:sz="0" w:space="0" w:color="auto"/>
        <w:left w:val="none" w:sz="0" w:space="0" w:color="auto"/>
        <w:bottom w:val="none" w:sz="0" w:space="0" w:color="auto"/>
        <w:right w:val="none" w:sz="0" w:space="0" w:color="auto"/>
      </w:divBdr>
    </w:div>
    <w:div w:id="1850094906">
      <w:bodyDiv w:val="1"/>
      <w:marLeft w:val="0"/>
      <w:marRight w:val="0"/>
      <w:marTop w:val="0"/>
      <w:marBottom w:val="0"/>
      <w:divBdr>
        <w:top w:val="none" w:sz="0" w:space="0" w:color="auto"/>
        <w:left w:val="none" w:sz="0" w:space="0" w:color="auto"/>
        <w:bottom w:val="none" w:sz="0" w:space="0" w:color="auto"/>
        <w:right w:val="none" w:sz="0" w:space="0" w:color="auto"/>
      </w:divBdr>
    </w:div>
    <w:div w:id="1865170332">
      <w:bodyDiv w:val="1"/>
      <w:marLeft w:val="0"/>
      <w:marRight w:val="0"/>
      <w:marTop w:val="0"/>
      <w:marBottom w:val="0"/>
      <w:divBdr>
        <w:top w:val="none" w:sz="0" w:space="0" w:color="auto"/>
        <w:left w:val="none" w:sz="0" w:space="0" w:color="auto"/>
        <w:bottom w:val="none" w:sz="0" w:space="0" w:color="auto"/>
        <w:right w:val="none" w:sz="0" w:space="0" w:color="auto"/>
      </w:divBdr>
    </w:div>
    <w:div w:id="1880317024">
      <w:bodyDiv w:val="1"/>
      <w:marLeft w:val="0"/>
      <w:marRight w:val="0"/>
      <w:marTop w:val="0"/>
      <w:marBottom w:val="0"/>
      <w:divBdr>
        <w:top w:val="none" w:sz="0" w:space="0" w:color="auto"/>
        <w:left w:val="none" w:sz="0" w:space="0" w:color="auto"/>
        <w:bottom w:val="none" w:sz="0" w:space="0" w:color="auto"/>
        <w:right w:val="none" w:sz="0" w:space="0" w:color="auto"/>
      </w:divBdr>
    </w:div>
    <w:div w:id="1890145412">
      <w:bodyDiv w:val="1"/>
      <w:marLeft w:val="0"/>
      <w:marRight w:val="0"/>
      <w:marTop w:val="0"/>
      <w:marBottom w:val="0"/>
      <w:divBdr>
        <w:top w:val="none" w:sz="0" w:space="0" w:color="auto"/>
        <w:left w:val="none" w:sz="0" w:space="0" w:color="auto"/>
        <w:bottom w:val="none" w:sz="0" w:space="0" w:color="auto"/>
        <w:right w:val="none" w:sz="0" w:space="0" w:color="auto"/>
      </w:divBdr>
    </w:div>
    <w:div w:id="1893347174">
      <w:bodyDiv w:val="1"/>
      <w:marLeft w:val="0"/>
      <w:marRight w:val="0"/>
      <w:marTop w:val="0"/>
      <w:marBottom w:val="0"/>
      <w:divBdr>
        <w:top w:val="none" w:sz="0" w:space="0" w:color="auto"/>
        <w:left w:val="none" w:sz="0" w:space="0" w:color="auto"/>
        <w:bottom w:val="none" w:sz="0" w:space="0" w:color="auto"/>
        <w:right w:val="none" w:sz="0" w:space="0" w:color="auto"/>
      </w:divBdr>
    </w:div>
    <w:div w:id="1916234344">
      <w:bodyDiv w:val="1"/>
      <w:marLeft w:val="0"/>
      <w:marRight w:val="0"/>
      <w:marTop w:val="0"/>
      <w:marBottom w:val="0"/>
      <w:divBdr>
        <w:top w:val="none" w:sz="0" w:space="0" w:color="auto"/>
        <w:left w:val="none" w:sz="0" w:space="0" w:color="auto"/>
        <w:bottom w:val="none" w:sz="0" w:space="0" w:color="auto"/>
        <w:right w:val="none" w:sz="0" w:space="0" w:color="auto"/>
      </w:divBdr>
    </w:div>
    <w:div w:id="1956056246">
      <w:bodyDiv w:val="1"/>
      <w:marLeft w:val="0"/>
      <w:marRight w:val="0"/>
      <w:marTop w:val="0"/>
      <w:marBottom w:val="0"/>
      <w:divBdr>
        <w:top w:val="none" w:sz="0" w:space="0" w:color="auto"/>
        <w:left w:val="none" w:sz="0" w:space="0" w:color="auto"/>
        <w:bottom w:val="none" w:sz="0" w:space="0" w:color="auto"/>
        <w:right w:val="none" w:sz="0" w:space="0" w:color="auto"/>
      </w:divBdr>
    </w:div>
    <w:div w:id="1957827247">
      <w:bodyDiv w:val="1"/>
      <w:marLeft w:val="0"/>
      <w:marRight w:val="0"/>
      <w:marTop w:val="0"/>
      <w:marBottom w:val="0"/>
      <w:divBdr>
        <w:top w:val="none" w:sz="0" w:space="0" w:color="auto"/>
        <w:left w:val="none" w:sz="0" w:space="0" w:color="auto"/>
        <w:bottom w:val="none" w:sz="0" w:space="0" w:color="auto"/>
        <w:right w:val="none" w:sz="0" w:space="0" w:color="auto"/>
      </w:divBdr>
    </w:div>
    <w:div w:id="1966350275">
      <w:bodyDiv w:val="1"/>
      <w:marLeft w:val="0"/>
      <w:marRight w:val="0"/>
      <w:marTop w:val="0"/>
      <w:marBottom w:val="0"/>
      <w:divBdr>
        <w:top w:val="none" w:sz="0" w:space="0" w:color="auto"/>
        <w:left w:val="none" w:sz="0" w:space="0" w:color="auto"/>
        <w:bottom w:val="none" w:sz="0" w:space="0" w:color="auto"/>
        <w:right w:val="none" w:sz="0" w:space="0" w:color="auto"/>
      </w:divBdr>
    </w:div>
    <w:div w:id="1997759799">
      <w:bodyDiv w:val="1"/>
      <w:marLeft w:val="0"/>
      <w:marRight w:val="0"/>
      <w:marTop w:val="0"/>
      <w:marBottom w:val="0"/>
      <w:divBdr>
        <w:top w:val="none" w:sz="0" w:space="0" w:color="auto"/>
        <w:left w:val="none" w:sz="0" w:space="0" w:color="auto"/>
        <w:bottom w:val="none" w:sz="0" w:space="0" w:color="auto"/>
        <w:right w:val="none" w:sz="0" w:space="0" w:color="auto"/>
      </w:divBdr>
    </w:div>
    <w:div w:id="2060129814">
      <w:bodyDiv w:val="1"/>
      <w:marLeft w:val="0"/>
      <w:marRight w:val="0"/>
      <w:marTop w:val="0"/>
      <w:marBottom w:val="0"/>
      <w:divBdr>
        <w:top w:val="none" w:sz="0" w:space="0" w:color="auto"/>
        <w:left w:val="none" w:sz="0" w:space="0" w:color="auto"/>
        <w:bottom w:val="none" w:sz="0" w:space="0" w:color="auto"/>
        <w:right w:val="none" w:sz="0" w:space="0" w:color="auto"/>
      </w:divBdr>
    </w:div>
    <w:div w:id="2065637344">
      <w:bodyDiv w:val="1"/>
      <w:marLeft w:val="0"/>
      <w:marRight w:val="0"/>
      <w:marTop w:val="0"/>
      <w:marBottom w:val="0"/>
      <w:divBdr>
        <w:top w:val="none" w:sz="0" w:space="0" w:color="auto"/>
        <w:left w:val="none" w:sz="0" w:space="0" w:color="auto"/>
        <w:bottom w:val="none" w:sz="0" w:space="0" w:color="auto"/>
        <w:right w:val="none" w:sz="0" w:space="0" w:color="auto"/>
      </w:divBdr>
    </w:div>
    <w:div w:id="2068991741">
      <w:bodyDiv w:val="1"/>
      <w:marLeft w:val="0"/>
      <w:marRight w:val="0"/>
      <w:marTop w:val="0"/>
      <w:marBottom w:val="0"/>
      <w:divBdr>
        <w:top w:val="none" w:sz="0" w:space="0" w:color="auto"/>
        <w:left w:val="none" w:sz="0" w:space="0" w:color="auto"/>
        <w:bottom w:val="none" w:sz="0" w:space="0" w:color="auto"/>
        <w:right w:val="none" w:sz="0" w:space="0" w:color="auto"/>
      </w:divBdr>
    </w:div>
    <w:div w:id="2087650370">
      <w:bodyDiv w:val="1"/>
      <w:marLeft w:val="0"/>
      <w:marRight w:val="0"/>
      <w:marTop w:val="0"/>
      <w:marBottom w:val="0"/>
      <w:divBdr>
        <w:top w:val="none" w:sz="0" w:space="0" w:color="auto"/>
        <w:left w:val="none" w:sz="0" w:space="0" w:color="auto"/>
        <w:bottom w:val="none" w:sz="0" w:space="0" w:color="auto"/>
        <w:right w:val="none" w:sz="0" w:space="0" w:color="auto"/>
      </w:divBdr>
    </w:div>
    <w:div w:id="2103720634">
      <w:bodyDiv w:val="1"/>
      <w:marLeft w:val="0"/>
      <w:marRight w:val="0"/>
      <w:marTop w:val="0"/>
      <w:marBottom w:val="0"/>
      <w:divBdr>
        <w:top w:val="none" w:sz="0" w:space="0" w:color="auto"/>
        <w:left w:val="none" w:sz="0" w:space="0" w:color="auto"/>
        <w:bottom w:val="none" w:sz="0" w:space="0" w:color="auto"/>
        <w:right w:val="none" w:sz="0" w:space="0" w:color="auto"/>
      </w:divBdr>
    </w:div>
    <w:div w:id="2125728976">
      <w:bodyDiv w:val="1"/>
      <w:marLeft w:val="0"/>
      <w:marRight w:val="0"/>
      <w:marTop w:val="0"/>
      <w:marBottom w:val="0"/>
      <w:divBdr>
        <w:top w:val="none" w:sz="0" w:space="0" w:color="auto"/>
        <w:left w:val="none" w:sz="0" w:space="0" w:color="auto"/>
        <w:bottom w:val="none" w:sz="0" w:space="0" w:color="auto"/>
        <w:right w:val="none" w:sz="0" w:space="0" w:color="auto"/>
      </w:divBdr>
    </w:div>
    <w:div w:id="2126148872">
      <w:bodyDiv w:val="1"/>
      <w:marLeft w:val="0"/>
      <w:marRight w:val="0"/>
      <w:marTop w:val="0"/>
      <w:marBottom w:val="0"/>
      <w:divBdr>
        <w:top w:val="none" w:sz="0" w:space="0" w:color="auto"/>
        <w:left w:val="none" w:sz="0" w:space="0" w:color="auto"/>
        <w:bottom w:val="none" w:sz="0" w:space="0" w:color="auto"/>
        <w:right w:val="none" w:sz="0" w:space="0" w:color="auto"/>
      </w:divBdr>
    </w:div>
    <w:div w:id="2134709977">
      <w:bodyDiv w:val="1"/>
      <w:marLeft w:val="0"/>
      <w:marRight w:val="0"/>
      <w:marTop w:val="0"/>
      <w:marBottom w:val="0"/>
      <w:divBdr>
        <w:top w:val="none" w:sz="0" w:space="0" w:color="auto"/>
        <w:left w:val="none" w:sz="0" w:space="0" w:color="auto"/>
        <w:bottom w:val="none" w:sz="0" w:space="0" w:color="auto"/>
        <w:right w:val="none" w:sz="0" w:space="0" w:color="auto"/>
      </w:divBdr>
    </w:div>
    <w:div w:id="21450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9A73-9167-444F-9FF9-87C01FBC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Joseph Barnas</dc:creator>
  <cp:keywords/>
  <dc:description/>
  <cp:lastModifiedBy>Barnas, Adam J.</cp:lastModifiedBy>
  <cp:revision>2</cp:revision>
  <cp:lastPrinted>2022-02-16T02:22:00Z</cp:lastPrinted>
  <dcterms:created xsi:type="dcterms:W3CDTF">2022-06-08T12:46:00Z</dcterms:created>
  <dcterms:modified xsi:type="dcterms:W3CDTF">2022-06-08T12:46:00Z</dcterms:modified>
</cp:coreProperties>
</file>